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 w:hAnsi="仿宋" w:eastAsia="仿宋" w:cs="仿宋"/>
          <w:sz w:val="32"/>
          <w:szCs w:val="32"/>
        </w:rPr>
      </w:pPr>
      <w:r>
        <w:rPr>
          <w:rFonts w:hint="eastAsia" w:ascii="黑体" w:hAnsi="黑体" w:eastAsia="黑体" w:cs="黑体"/>
          <w:sz w:val="32"/>
          <w:szCs w:val="32"/>
        </w:rPr>
        <w:t>附件</w:t>
      </w:r>
      <w:r>
        <w:rPr>
          <w:rFonts w:ascii="黑体" w:hAnsi="黑体" w:eastAsia="黑体" w:cs="黑体"/>
          <w:sz w:val="32"/>
          <w:szCs w:val="32"/>
        </w:rPr>
        <w:t>3</w:t>
      </w:r>
    </w:p>
    <w:p>
      <w:pPr>
        <w:spacing w:line="560" w:lineRule="exact"/>
        <w:jc w:val="center"/>
        <w:rPr>
          <w:rFonts w:ascii="宋体" w:cs="宋体"/>
          <w:b/>
          <w:bCs/>
          <w:sz w:val="44"/>
          <w:szCs w:val="44"/>
        </w:rPr>
      </w:pPr>
      <w:r>
        <w:rPr>
          <w:rFonts w:hint="eastAsia" w:ascii="宋体" w:hAnsi="宋体" w:cs="宋体"/>
          <w:b/>
          <w:bCs/>
          <w:sz w:val="44"/>
          <w:szCs w:val="44"/>
          <w:lang w:eastAsia="zh-CN"/>
        </w:rPr>
        <w:t>汤原县</w:t>
      </w:r>
      <w:r>
        <w:rPr>
          <w:rFonts w:hint="eastAsia" w:ascii="宋体" w:hAnsi="宋体" w:cs="宋体"/>
          <w:b/>
          <w:bCs/>
          <w:sz w:val="44"/>
          <w:szCs w:val="44"/>
        </w:rPr>
        <w:t>市场监督管理系统不予行政处罚事项清单</w:t>
      </w:r>
    </w:p>
    <w:p>
      <w:pPr>
        <w:spacing w:line="560" w:lineRule="exact"/>
        <w:rPr>
          <w:rFonts w:ascii="仿宋" w:hAnsi="仿宋" w:eastAsia="仿宋" w:cs="仿宋"/>
          <w:sz w:val="32"/>
          <w:szCs w:val="32"/>
        </w:rPr>
      </w:pPr>
    </w:p>
    <w:tbl>
      <w:tblPr>
        <w:tblStyle w:val="7"/>
        <w:tblW w:w="14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774"/>
        <w:gridCol w:w="2597"/>
        <w:gridCol w:w="3280"/>
        <w:gridCol w:w="4679"/>
        <w:gridCol w:w="1710"/>
        <w:gridCol w:w="1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spacing w:line="560" w:lineRule="exact"/>
              <w:jc w:val="center"/>
              <w:rPr>
                <w:rFonts w:ascii="黑体" w:hAnsi="黑体" w:eastAsia="黑体" w:cs="黑体"/>
                <w:sz w:val="24"/>
              </w:rPr>
            </w:pPr>
            <w:r>
              <w:rPr>
                <w:rFonts w:hint="eastAsia" w:ascii="黑体" w:hAnsi="黑体" w:eastAsia="黑体" w:cs="黑体"/>
                <w:sz w:val="24"/>
              </w:rPr>
              <w:t>序号</w:t>
            </w:r>
          </w:p>
        </w:tc>
        <w:tc>
          <w:tcPr>
            <w:tcW w:w="774" w:type="dxa"/>
            <w:vAlign w:val="center"/>
          </w:tcPr>
          <w:p>
            <w:pPr>
              <w:spacing w:line="560" w:lineRule="exact"/>
              <w:jc w:val="center"/>
              <w:rPr>
                <w:rFonts w:ascii="黑体" w:hAnsi="黑体" w:eastAsia="黑体" w:cs="黑体"/>
                <w:sz w:val="24"/>
              </w:rPr>
            </w:pPr>
            <w:r>
              <w:rPr>
                <w:rFonts w:hint="eastAsia" w:ascii="黑体" w:hAnsi="黑体" w:eastAsia="黑体" w:cs="黑体"/>
                <w:sz w:val="24"/>
              </w:rPr>
              <w:t>管理领域</w:t>
            </w:r>
          </w:p>
        </w:tc>
        <w:tc>
          <w:tcPr>
            <w:tcW w:w="2597" w:type="dxa"/>
            <w:vAlign w:val="center"/>
          </w:tcPr>
          <w:p>
            <w:pPr>
              <w:spacing w:line="560" w:lineRule="exact"/>
              <w:jc w:val="center"/>
              <w:rPr>
                <w:rFonts w:ascii="黑体" w:hAnsi="黑体" w:eastAsia="黑体" w:cs="黑体"/>
                <w:sz w:val="24"/>
              </w:rPr>
            </w:pPr>
            <w:r>
              <w:rPr>
                <w:rFonts w:hint="eastAsia" w:ascii="黑体" w:hAnsi="黑体" w:eastAsia="黑体" w:cs="黑体"/>
                <w:sz w:val="24"/>
              </w:rPr>
              <w:t>不予行政处罚事项</w:t>
            </w:r>
          </w:p>
        </w:tc>
        <w:tc>
          <w:tcPr>
            <w:tcW w:w="328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黑体" w:hAnsi="黑体" w:eastAsia="黑体" w:cs="黑体"/>
                <w:sz w:val="24"/>
              </w:rPr>
            </w:pPr>
            <w:r>
              <w:rPr>
                <w:rFonts w:hint="eastAsia" w:ascii="黑体" w:hAnsi="黑体" w:eastAsia="黑体" w:cs="黑体"/>
                <w:sz w:val="24"/>
              </w:rPr>
              <w:t>不予行政处罚的情形</w:t>
            </w:r>
          </w:p>
        </w:tc>
        <w:tc>
          <w:tcPr>
            <w:tcW w:w="4679"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黑体" w:hAnsi="黑体" w:eastAsia="黑体" w:cs="黑体"/>
                <w:sz w:val="24"/>
              </w:rPr>
            </w:pPr>
            <w:r>
              <w:rPr>
                <w:rFonts w:hint="eastAsia" w:ascii="黑体" w:hAnsi="黑体" w:eastAsia="黑体" w:cs="黑体"/>
                <w:sz w:val="24"/>
              </w:rPr>
              <w:t>不予行政处罚的依据</w:t>
            </w:r>
          </w:p>
        </w:tc>
        <w:tc>
          <w:tcPr>
            <w:tcW w:w="171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黑体" w:hAnsi="黑体" w:eastAsia="黑体" w:cs="黑体"/>
                <w:sz w:val="24"/>
              </w:rPr>
            </w:pPr>
            <w:r>
              <w:rPr>
                <w:rFonts w:hint="eastAsia" w:ascii="黑体" w:hAnsi="黑体" w:eastAsia="黑体" w:cs="黑体"/>
                <w:sz w:val="24"/>
              </w:rPr>
              <w:t>配套监管措施</w:t>
            </w:r>
          </w:p>
        </w:tc>
        <w:tc>
          <w:tcPr>
            <w:tcW w:w="132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黑体" w:hAnsi="黑体" w:eastAsia="黑体" w:cs="黑体"/>
                <w:sz w:val="24"/>
              </w:rPr>
            </w:pPr>
            <w:r>
              <w:rPr>
                <w:rFonts w:hint="eastAsia" w:ascii="黑体" w:hAnsi="黑体" w:eastAsia="黑体" w:cs="黑体"/>
                <w:sz w:val="24"/>
              </w:rPr>
              <w:t>权力层级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03" w:type="dxa"/>
            <w:vAlign w:val="center"/>
          </w:tcPr>
          <w:p>
            <w:pPr>
              <w:spacing w:line="560" w:lineRule="exact"/>
              <w:jc w:val="center"/>
              <w:rPr>
                <w:rFonts w:ascii="仿宋" w:hAnsi="仿宋" w:eastAsia="仿宋" w:cs="仿宋"/>
                <w:szCs w:val="21"/>
              </w:rPr>
            </w:pPr>
            <w:r>
              <w:rPr>
                <w:rFonts w:ascii="仿宋" w:hAnsi="仿宋" w:eastAsia="仿宋" w:cs="仿宋"/>
                <w:szCs w:val="21"/>
              </w:rPr>
              <w:t>1</w:t>
            </w:r>
          </w:p>
        </w:tc>
        <w:tc>
          <w:tcPr>
            <w:tcW w:w="774" w:type="dxa"/>
            <w:vAlign w:val="center"/>
          </w:tcPr>
          <w:p>
            <w:pPr>
              <w:spacing w:line="560" w:lineRule="exact"/>
              <w:jc w:val="center"/>
              <w:rPr>
                <w:rFonts w:ascii="仿宋" w:hAnsi="仿宋" w:eastAsia="仿宋" w:cs="仿宋"/>
                <w:szCs w:val="21"/>
              </w:rPr>
            </w:pPr>
            <w:r>
              <w:rPr>
                <w:rFonts w:hint="eastAsia" w:ascii="仿宋" w:hAnsi="仿宋" w:eastAsia="仿宋" w:cs="仿宋"/>
                <w:szCs w:val="21"/>
              </w:rPr>
              <w:t>市场监管领域</w:t>
            </w:r>
          </w:p>
        </w:tc>
        <w:tc>
          <w:tcPr>
            <w:tcW w:w="2597" w:type="dxa"/>
            <w:vAlign w:val="center"/>
          </w:tcPr>
          <w:p>
            <w:pPr>
              <w:widowControl/>
              <w:spacing w:line="220" w:lineRule="exact"/>
              <w:jc w:val="center"/>
              <w:textAlignment w:val="center"/>
              <w:rPr>
                <w:rFonts w:ascii="仿宋" w:hAnsi="仿宋" w:eastAsia="仿宋" w:cs="仿宋"/>
                <w:sz w:val="16"/>
                <w:szCs w:val="16"/>
              </w:rPr>
            </w:pPr>
            <w:r>
              <w:rPr>
                <w:rFonts w:hint="eastAsia" w:ascii="仿宋" w:hAnsi="仿宋" w:eastAsia="仿宋" w:cs="仿宋"/>
                <w:w w:val="99"/>
                <w:sz w:val="16"/>
                <w:szCs w:val="16"/>
              </w:rPr>
              <w:t>不予处罚</w:t>
            </w:r>
            <w:r>
              <w:rPr>
                <w:rFonts w:ascii="仿宋" w:hAnsi="仿宋" w:eastAsia="仿宋" w:cs="仿宋"/>
                <w:w w:val="99"/>
                <w:sz w:val="16"/>
                <w:szCs w:val="16"/>
              </w:rPr>
              <w:br w:type="textWrapping"/>
            </w:r>
            <w:r>
              <w:rPr>
                <w:rFonts w:hint="eastAsia" w:ascii="仿宋" w:hAnsi="仿宋" w:eastAsia="仿宋" w:cs="仿宋"/>
                <w:sz w:val="16"/>
                <w:szCs w:val="16"/>
              </w:rPr>
              <w:t>（详见附件一：市场监管</w:t>
            </w:r>
          </w:p>
          <w:p>
            <w:pPr>
              <w:spacing w:line="220" w:lineRule="exact"/>
              <w:jc w:val="center"/>
              <w:rPr>
                <w:rFonts w:ascii="仿宋" w:hAnsi="仿宋" w:eastAsia="仿宋" w:cs="仿宋"/>
                <w:szCs w:val="21"/>
              </w:rPr>
            </w:pPr>
            <w:r>
              <w:rPr>
                <w:rFonts w:hint="eastAsia" w:ascii="仿宋" w:hAnsi="仿宋" w:eastAsia="仿宋" w:cs="仿宋"/>
                <w:sz w:val="16"/>
                <w:szCs w:val="16"/>
              </w:rPr>
              <w:t>行政处罚事项清单）</w:t>
            </w:r>
          </w:p>
        </w:tc>
        <w:tc>
          <w:tcPr>
            <w:tcW w:w="3280"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sz w:val="16"/>
                <w:szCs w:val="16"/>
              </w:rPr>
            </w:pPr>
            <w:r>
              <w:rPr>
                <w:rFonts w:hint="eastAsia" w:ascii="仿宋" w:hAnsi="仿宋" w:eastAsia="仿宋" w:cs="仿宋"/>
                <w:w w:val="99"/>
                <w:sz w:val="16"/>
                <w:szCs w:val="16"/>
              </w:rPr>
              <w:t>（一）不满十四周岁未成年人违法的；</w:t>
            </w:r>
          </w:p>
          <w:p>
            <w:pPr>
              <w:spacing w:line="220" w:lineRule="exact"/>
              <w:rPr>
                <w:rFonts w:ascii="仿宋" w:hAnsi="仿宋" w:eastAsia="仿宋" w:cs="仿宋"/>
                <w:w w:val="99"/>
                <w:sz w:val="16"/>
                <w:szCs w:val="16"/>
              </w:rPr>
            </w:pPr>
            <w:r>
              <w:rPr>
                <w:rFonts w:hint="eastAsia" w:ascii="仿宋" w:hAnsi="仿宋" w:eastAsia="仿宋" w:cs="仿宋"/>
                <w:w w:val="99"/>
                <w:sz w:val="16"/>
                <w:szCs w:val="16"/>
              </w:rPr>
              <w:t>（二）精神病人、间歇性精神病人、智力残疾人在不能辨认或者不能控制自己行为时实施违法行为的；</w:t>
            </w:r>
          </w:p>
          <w:p>
            <w:pPr>
              <w:spacing w:line="220" w:lineRule="exact"/>
              <w:rPr>
                <w:rFonts w:ascii="仿宋" w:hAnsi="仿宋" w:eastAsia="仿宋" w:cs="仿宋"/>
                <w:w w:val="99"/>
                <w:sz w:val="16"/>
                <w:szCs w:val="16"/>
              </w:rPr>
            </w:pPr>
            <w:r>
              <w:rPr>
                <w:rFonts w:hint="eastAsia" w:ascii="仿宋" w:hAnsi="仿宋" w:eastAsia="仿宋" w:cs="仿宋"/>
                <w:w w:val="99"/>
                <w:sz w:val="16"/>
                <w:szCs w:val="16"/>
              </w:rPr>
              <w:t>（三）违法行为轻微并及时改正，没有造成危害后果的；</w:t>
            </w:r>
          </w:p>
          <w:p>
            <w:pPr>
              <w:spacing w:line="220" w:lineRule="exact"/>
              <w:rPr>
                <w:rFonts w:ascii="仿宋" w:hAnsi="仿宋" w:eastAsia="仿宋" w:cs="仿宋"/>
                <w:w w:val="99"/>
                <w:sz w:val="16"/>
                <w:szCs w:val="16"/>
              </w:rPr>
            </w:pPr>
            <w:r>
              <w:rPr>
                <w:rFonts w:hint="eastAsia" w:ascii="仿宋" w:hAnsi="仿宋" w:eastAsia="仿宋" w:cs="仿宋"/>
                <w:w w:val="99"/>
                <w:sz w:val="16"/>
                <w:szCs w:val="16"/>
              </w:rPr>
              <w:t>（四）一般违法行为结束之日起在二年内未被发现的，涉及公民生命健康安全且有危害后果的违法行为结束之日起在五年内未被发现的，但法律另有规定的除外；</w:t>
            </w:r>
          </w:p>
          <w:p>
            <w:pPr>
              <w:spacing w:line="220" w:lineRule="exact"/>
              <w:rPr>
                <w:rFonts w:ascii="仿宋" w:hAnsi="仿宋" w:eastAsia="仿宋" w:cs="仿宋"/>
                <w:w w:val="99"/>
                <w:sz w:val="16"/>
                <w:szCs w:val="16"/>
              </w:rPr>
            </w:pPr>
            <w:r>
              <w:rPr>
                <w:rFonts w:hint="eastAsia" w:ascii="仿宋" w:hAnsi="仿宋" w:eastAsia="仿宋" w:cs="仿宋"/>
                <w:w w:val="99"/>
                <w:sz w:val="16"/>
                <w:szCs w:val="16"/>
              </w:rPr>
              <w:t>（五）当事人有证据足以证明没有主观过错的，但法律、行政法规另有规定的除外；</w:t>
            </w:r>
          </w:p>
          <w:p>
            <w:pPr>
              <w:spacing w:line="220" w:lineRule="exact"/>
              <w:rPr>
                <w:rFonts w:ascii="仿宋" w:hAnsi="仿宋" w:eastAsia="仿宋" w:cs="仿宋"/>
                <w:szCs w:val="21"/>
              </w:rPr>
            </w:pPr>
            <w:r>
              <w:rPr>
                <w:rFonts w:hint="eastAsia" w:ascii="仿宋" w:hAnsi="仿宋" w:eastAsia="仿宋" w:cs="仿宋"/>
                <w:w w:val="99"/>
                <w:sz w:val="16"/>
                <w:szCs w:val="16"/>
              </w:rPr>
              <w:t>（六）其他依法应当不予行政处罚的。</w:t>
            </w:r>
          </w:p>
        </w:tc>
        <w:tc>
          <w:tcPr>
            <w:tcW w:w="4679"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sz w:val="16"/>
                <w:szCs w:val="16"/>
              </w:rPr>
            </w:pPr>
            <w:r>
              <w:rPr>
                <w:rFonts w:hint="eastAsia" w:ascii="仿宋" w:hAnsi="仿宋" w:eastAsia="仿宋" w:cs="仿宋"/>
                <w:w w:val="99"/>
                <w:sz w:val="16"/>
                <w:szCs w:val="16"/>
              </w:rPr>
              <w:t>《中华人民共和国行政处罚法》</w:t>
            </w:r>
          </w:p>
          <w:p>
            <w:pPr>
              <w:spacing w:line="220" w:lineRule="exact"/>
              <w:rPr>
                <w:rFonts w:ascii="仿宋" w:hAnsi="仿宋" w:eastAsia="仿宋" w:cs="仿宋"/>
                <w:w w:val="99"/>
                <w:sz w:val="16"/>
                <w:szCs w:val="16"/>
              </w:rPr>
            </w:pPr>
          </w:p>
          <w:p>
            <w:pPr>
              <w:spacing w:line="220" w:lineRule="exact"/>
              <w:rPr>
                <w:rFonts w:ascii="仿宋" w:hAnsi="仿宋" w:eastAsia="仿宋" w:cs="仿宋"/>
                <w:w w:val="99"/>
                <w:sz w:val="16"/>
                <w:szCs w:val="16"/>
              </w:rPr>
            </w:pPr>
            <w:r>
              <w:rPr>
                <w:rFonts w:hint="eastAsia" w:ascii="仿宋" w:hAnsi="仿宋" w:eastAsia="仿宋" w:cs="仿宋"/>
                <w:w w:val="99"/>
                <w:sz w:val="16"/>
                <w:szCs w:val="16"/>
              </w:rPr>
              <w:t>第三十条　不满十四周岁的未成年人有违法行为的，不予行政处罚，责令监护人加以管教；已满十四周岁不满十八周岁的未成年人有违法行为的，应当从轻或者减轻行政处罚。</w:t>
            </w:r>
          </w:p>
          <w:p>
            <w:pPr>
              <w:spacing w:line="220" w:lineRule="exact"/>
              <w:rPr>
                <w:rFonts w:ascii="仿宋" w:hAnsi="仿宋" w:eastAsia="仿宋" w:cs="仿宋"/>
                <w:w w:val="99"/>
                <w:sz w:val="16"/>
                <w:szCs w:val="16"/>
              </w:rPr>
            </w:pPr>
          </w:p>
          <w:p>
            <w:pPr>
              <w:spacing w:line="220" w:lineRule="exact"/>
              <w:rPr>
                <w:rFonts w:ascii="仿宋" w:hAnsi="仿宋" w:eastAsia="仿宋" w:cs="仿宋"/>
                <w:w w:val="99"/>
                <w:sz w:val="16"/>
                <w:szCs w:val="16"/>
              </w:rPr>
            </w:pPr>
            <w:r>
              <w:rPr>
                <w:rFonts w:hint="eastAsia" w:ascii="仿宋" w:hAnsi="仿宋" w:eastAsia="仿宋" w:cs="仿宋"/>
                <w:w w:val="99"/>
                <w:sz w:val="16"/>
                <w:szCs w:val="16"/>
              </w:rPr>
              <w:t>第三十一条　精神病人、智力残疾人在不能辨认或者不能控制自己行为时有违法行为的，不予行政处罚，但应当责令其监护人严加看管和治疗。间歇性精神病人在精神正常时有违法行为的，应当给予行政处罚。尚未完全丧失辨认或者控制自己行为能力的精神病人、智力残疾人有违法行为的，可以从轻或者减轻行政处罚。</w:t>
            </w:r>
          </w:p>
          <w:p>
            <w:pPr>
              <w:spacing w:line="220" w:lineRule="exact"/>
              <w:rPr>
                <w:rFonts w:ascii="仿宋" w:hAnsi="仿宋" w:eastAsia="仿宋" w:cs="仿宋"/>
                <w:w w:val="99"/>
                <w:sz w:val="16"/>
                <w:szCs w:val="16"/>
              </w:rPr>
            </w:pPr>
          </w:p>
          <w:p>
            <w:pPr>
              <w:spacing w:line="220" w:lineRule="exact"/>
              <w:rPr>
                <w:rFonts w:ascii="仿宋" w:hAnsi="仿宋" w:eastAsia="仿宋" w:cs="仿宋"/>
                <w:w w:val="99"/>
                <w:sz w:val="16"/>
                <w:szCs w:val="16"/>
              </w:rPr>
            </w:pPr>
            <w:r>
              <w:rPr>
                <w:rFonts w:hint="eastAsia" w:ascii="仿宋" w:hAnsi="仿宋" w:eastAsia="仿宋" w:cs="仿宋"/>
                <w:w w:val="99"/>
                <w:sz w:val="16"/>
                <w:szCs w:val="16"/>
              </w:rPr>
              <w:t>第三十三条　违法行为轻微并及时改正，没有造成危害后果的，不予行政处罚。初次违法且危害后果轻微并及时改正的，可以不予行政处罚。</w:t>
            </w:r>
          </w:p>
          <w:p>
            <w:pPr>
              <w:spacing w:line="220" w:lineRule="exact"/>
              <w:rPr>
                <w:rFonts w:ascii="仿宋" w:hAnsi="仿宋" w:eastAsia="仿宋" w:cs="仿宋"/>
                <w:w w:val="99"/>
                <w:sz w:val="16"/>
                <w:szCs w:val="16"/>
              </w:rPr>
            </w:pPr>
          </w:p>
          <w:p>
            <w:pPr>
              <w:spacing w:line="220" w:lineRule="exact"/>
              <w:rPr>
                <w:rFonts w:ascii="仿宋" w:hAnsi="仿宋" w:eastAsia="仿宋" w:cs="仿宋"/>
                <w:w w:val="99"/>
                <w:sz w:val="16"/>
                <w:szCs w:val="16"/>
              </w:rPr>
            </w:pPr>
            <w:r>
              <w:rPr>
                <w:rFonts w:hint="eastAsia" w:ascii="仿宋" w:hAnsi="仿宋" w:eastAsia="仿宋" w:cs="仿宋"/>
                <w:w w:val="99"/>
                <w:sz w:val="16"/>
                <w:szCs w:val="16"/>
              </w:rPr>
              <w:t>当事人有证据足以证明没有主观过错的，不予行政处罚。法律、行政法规另有规定的，从其规定。</w:t>
            </w:r>
          </w:p>
          <w:p>
            <w:pPr>
              <w:spacing w:line="220" w:lineRule="exact"/>
              <w:rPr>
                <w:rFonts w:ascii="仿宋" w:hAnsi="仿宋" w:eastAsia="仿宋" w:cs="仿宋"/>
                <w:w w:val="99"/>
                <w:sz w:val="16"/>
                <w:szCs w:val="16"/>
              </w:rPr>
            </w:pPr>
          </w:p>
          <w:p>
            <w:pPr>
              <w:spacing w:line="220" w:lineRule="exact"/>
              <w:rPr>
                <w:rFonts w:ascii="仿宋" w:hAnsi="仿宋" w:eastAsia="仿宋" w:cs="仿宋"/>
                <w:w w:val="99"/>
                <w:sz w:val="16"/>
                <w:szCs w:val="16"/>
              </w:rPr>
            </w:pPr>
            <w:r>
              <w:rPr>
                <w:rFonts w:hint="eastAsia" w:ascii="仿宋" w:hAnsi="仿宋" w:eastAsia="仿宋" w:cs="仿宋"/>
                <w:w w:val="99"/>
                <w:sz w:val="16"/>
                <w:szCs w:val="16"/>
              </w:rPr>
              <w:t>第三十六条　违法行为在二年内未被发现的，不再给予行政处罚；涉及公民生命健康安全、金融安全且有危害后果的，上述期限延长至五年。法律另有规定的除外。</w:t>
            </w:r>
          </w:p>
          <w:p>
            <w:pPr>
              <w:spacing w:line="220" w:lineRule="exact"/>
              <w:rPr>
                <w:rFonts w:ascii="仿宋" w:hAnsi="仿宋" w:eastAsia="仿宋" w:cs="仿宋"/>
                <w:w w:val="99"/>
                <w:sz w:val="16"/>
                <w:szCs w:val="16"/>
              </w:rPr>
            </w:pPr>
          </w:p>
          <w:p>
            <w:pPr>
              <w:spacing w:line="220" w:lineRule="exact"/>
              <w:rPr>
                <w:rFonts w:ascii="仿宋" w:hAnsi="仿宋" w:eastAsia="仿宋" w:cs="仿宋"/>
                <w:szCs w:val="21"/>
              </w:rPr>
            </w:pPr>
            <w:r>
              <w:rPr>
                <w:rFonts w:hint="eastAsia" w:ascii="仿宋" w:hAnsi="仿宋" w:eastAsia="仿宋" w:cs="仿宋"/>
                <w:w w:val="99"/>
                <w:sz w:val="16"/>
                <w:szCs w:val="16"/>
              </w:rPr>
              <w:t>前款规定的期限，从违法行为发生之日起计算；违法行为有连续或者继续状态的，从行为终了之日起计算。</w:t>
            </w:r>
          </w:p>
        </w:tc>
        <w:tc>
          <w:tcPr>
            <w:tcW w:w="171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 w:hAnsi="仿宋" w:eastAsia="仿宋" w:cs="仿宋"/>
                <w:szCs w:val="21"/>
              </w:rPr>
            </w:pPr>
          </w:p>
        </w:tc>
        <w:tc>
          <w:tcPr>
            <w:tcW w:w="1325" w:type="dxa"/>
            <w:tcBorders>
              <w:top w:val="single" w:color="000000" w:sz="4" w:space="0"/>
              <w:left w:val="single" w:color="000000" w:sz="4" w:space="0"/>
              <w:bottom w:val="single" w:color="000000" w:sz="4" w:space="0"/>
              <w:right w:val="single" w:color="000000" w:sz="4" w:space="0"/>
            </w:tcBorders>
            <w:vAlign w:val="center"/>
          </w:tcPr>
          <w:p>
            <w:pPr>
              <w:spacing w:line="560" w:lineRule="exact"/>
              <w:rPr>
                <w:rFonts w:ascii="仿宋" w:hAnsi="仿宋" w:eastAsia="仿宋" w:cs="仿宋"/>
                <w:szCs w:val="21"/>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03" w:type="dxa"/>
            <w:vAlign w:val="center"/>
          </w:tcPr>
          <w:p>
            <w:pPr>
              <w:spacing w:line="560" w:lineRule="exact"/>
              <w:jc w:val="center"/>
              <w:rPr>
                <w:rFonts w:ascii="仿宋" w:hAnsi="仿宋" w:eastAsia="仿宋" w:cs="仿宋"/>
                <w:szCs w:val="21"/>
              </w:rPr>
            </w:pPr>
            <w:r>
              <w:rPr>
                <w:rFonts w:ascii="仿宋" w:hAnsi="仿宋" w:eastAsia="仿宋" w:cs="仿宋"/>
                <w:szCs w:val="21"/>
              </w:rPr>
              <w:t>2</w:t>
            </w:r>
          </w:p>
        </w:tc>
        <w:tc>
          <w:tcPr>
            <w:tcW w:w="774" w:type="dxa"/>
            <w:vAlign w:val="center"/>
          </w:tcPr>
          <w:p>
            <w:pPr>
              <w:spacing w:line="560" w:lineRule="exact"/>
              <w:jc w:val="center"/>
              <w:rPr>
                <w:rFonts w:ascii="仿宋" w:hAnsi="仿宋" w:eastAsia="仿宋" w:cs="仿宋"/>
                <w:szCs w:val="21"/>
              </w:rPr>
            </w:pPr>
          </w:p>
        </w:tc>
        <w:tc>
          <w:tcPr>
            <w:tcW w:w="2597" w:type="dxa"/>
            <w:vAlign w:val="center"/>
          </w:tcPr>
          <w:p>
            <w:pPr>
              <w:widowControl/>
              <w:spacing w:line="220" w:lineRule="exact"/>
              <w:jc w:val="center"/>
              <w:textAlignment w:val="center"/>
              <w:rPr>
                <w:rFonts w:ascii="仿宋" w:hAnsi="仿宋" w:eastAsia="仿宋" w:cs="仿宋"/>
                <w:w w:val="99"/>
                <w:sz w:val="16"/>
                <w:szCs w:val="16"/>
              </w:rPr>
            </w:pPr>
          </w:p>
        </w:tc>
        <w:tc>
          <w:tcPr>
            <w:tcW w:w="328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 w:hAnsi="仿宋" w:eastAsia="仿宋" w:cs="仿宋"/>
                <w:w w:val="99"/>
                <w:sz w:val="16"/>
                <w:szCs w:val="16"/>
              </w:rPr>
            </w:pPr>
          </w:p>
        </w:tc>
        <w:tc>
          <w:tcPr>
            <w:tcW w:w="4679"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textAlignment w:val="center"/>
              <w:rPr>
                <w:rFonts w:ascii="仿宋" w:hAnsi="仿宋" w:eastAsia="仿宋" w:cs="仿宋"/>
                <w:w w:val="99"/>
                <w:sz w:val="16"/>
                <w:szCs w:val="16"/>
              </w:rPr>
            </w:pPr>
            <w:r>
              <w:rPr>
                <w:rFonts w:hint="eastAsia" w:ascii="仿宋" w:hAnsi="仿宋" w:eastAsia="仿宋" w:cs="仿宋"/>
                <w:sz w:val="16"/>
                <w:szCs w:val="16"/>
              </w:rPr>
              <w:t>《国家市场监管总局关于规范市场监督管理行政处罚裁量权的指导意见》国市监法〔</w:t>
            </w:r>
            <w:r>
              <w:rPr>
                <w:rFonts w:ascii="仿宋" w:hAnsi="仿宋" w:eastAsia="仿宋" w:cs="仿宋"/>
                <w:sz w:val="16"/>
                <w:szCs w:val="16"/>
              </w:rPr>
              <w:t>2019</w:t>
            </w:r>
            <w:r>
              <w:rPr>
                <w:rFonts w:hint="eastAsia" w:ascii="仿宋" w:hAnsi="仿宋" w:eastAsia="仿宋" w:cs="仿宋"/>
                <w:sz w:val="16"/>
                <w:szCs w:val="16"/>
              </w:rPr>
              <w:t>〕</w:t>
            </w:r>
            <w:r>
              <w:rPr>
                <w:rFonts w:ascii="仿宋" w:hAnsi="仿宋" w:eastAsia="仿宋" w:cs="仿宋"/>
                <w:sz w:val="16"/>
                <w:szCs w:val="16"/>
              </w:rPr>
              <w:t>244</w:t>
            </w:r>
            <w:r>
              <w:rPr>
                <w:rFonts w:hint="eastAsia" w:ascii="仿宋" w:hAnsi="仿宋" w:eastAsia="仿宋" w:cs="仿宋"/>
                <w:sz w:val="16"/>
                <w:szCs w:val="16"/>
              </w:rPr>
              <w:t>号</w:t>
            </w:r>
          </w:p>
          <w:p>
            <w:pPr>
              <w:widowControl/>
              <w:spacing w:line="220" w:lineRule="exact"/>
              <w:textAlignment w:val="center"/>
              <w:rPr>
                <w:rFonts w:ascii="仿宋" w:hAnsi="仿宋" w:eastAsia="仿宋" w:cs="仿宋"/>
                <w:w w:val="99"/>
                <w:sz w:val="16"/>
                <w:szCs w:val="16"/>
              </w:rPr>
            </w:pPr>
            <w:r>
              <w:rPr>
                <w:rFonts w:hint="eastAsia" w:ascii="仿宋" w:hAnsi="仿宋" w:eastAsia="仿宋" w:cs="仿宋"/>
                <w:w w:val="99"/>
                <w:sz w:val="16"/>
                <w:szCs w:val="16"/>
              </w:rPr>
              <w:t>（七）行政处罚裁量情形。</w:t>
            </w:r>
          </w:p>
          <w:p>
            <w:pPr>
              <w:widowControl/>
              <w:spacing w:line="220" w:lineRule="exact"/>
              <w:textAlignment w:val="center"/>
              <w:rPr>
                <w:rFonts w:ascii="仿宋" w:hAnsi="仿宋" w:eastAsia="仿宋" w:cs="仿宋"/>
                <w:w w:val="99"/>
                <w:sz w:val="16"/>
                <w:szCs w:val="16"/>
              </w:rPr>
            </w:pPr>
            <w:r>
              <w:rPr>
                <w:rFonts w:ascii="仿宋" w:hAnsi="仿宋" w:eastAsia="仿宋" w:cs="仿宋"/>
                <w:w w:val="99"/>
                <w:sz w:val="16"/>
                <w:szCs w:val="16"/>
              </w:rPr>
              <w:t xml:space="preserve">1. </w:t>
            </w:r>
            <w:r>
              <w:rPr>
                <w:rFonts w:hint="eastAsia" w:ascii="仿宋" w:hAnsi="仿宋" w:eastAsia="仿宋" w:cs="仿宋"/>
                <w:w w:val="99"/>
                <w:sz w:val="16"/>
                <w:szCs w:val="16"/>
              </w:rPr>
              <w:t>有下列情形之一的，应当依法不予行政处罚：</w:t>
            </w:r>
          </w:p>
          <w:p>
            <w:pPr>
              <w:widowControl/>
              <w:spacing w:line="220" w:lineRule="exact"/>
              <w:textAlignment w:val="center"/>
              <w:rPr>
                <w:rFonts w:ascii="仿宋" w:hAnsi="仿宋" w:eastAsia="仿宋" w:cs="仿宋"/>
                <w:w w:val="99"/>
                <w:sz w:val="16"/>
                <w:szCs w:val="16"/>
              </w:rPr>
            </w:pPr>
            <w:r>
              <w:rPr>
                <w:rFonts w:hint="eastAsia" w:ascii="仿宋" w:hAnsi="仿宋" w:eastAsia="仿宋" w:cs="仿宋"/>
                <w:w w:val="99"/>
                <w:sz w:val="16"/>
                <w:szCs w:val="16"/>
              </w:rPr>
              <w:t>（</w:t>
            </w:r>
            <w:r>
              <w:rPr>
                <w:rFonts w:ascii="仿宋" w:hAnsi="仿宋" w:eastAsia="仿宋" w:cs="仿宋"/>
                <w:w w:val="99"/>
                <w:sz w:val="16"/>
                <w:szCs w:val="16"/>
              </w:rPr>
              <w:t>1</w:t>
            </w:r>
            <w:r>
              <w:rPr>
                <w:rFonts w:hint="eastAsia" w:ascii="仿宋" w:hAnsi="仿宋" w:eastAsia="仿宋" w:cs="仿宋"/>
                <w:w w:val="99"/>
                <w:sz w:val="16"/>
                <w:szCs w:val="16"/>
              </w:rPr>
              <w:t>）不满十四周岁的人有违法行为的；</w:t>
            </w:r>
          </w:p>
          <w:p>
            <w:pPr>
              <w:widowControl/>
              <w:spacing w:line="220" w:lineRule="exact"/>
              <w:textAlignment w:val="center"/>
              <w:rPr>
                <w:rFonts w:ascii="仿宋" w:hAnsi="仿宋" w:eastAsia="仿宋" w:cs="仿宋"/>
                <w:w w:val="99"/>
                <w:sz w:val="16"/>
                <w:szCs w:val="16"/>
              </w:rPr>
            </w:pPr>
            <w:r>
              <w:rPr>
                <w:rFonts w:hint="eastAsia" w:ascii="仿宋" w:hAnsi="仿宋" w:eastAsia="仿宋" w:cs="仿宋"/>
                <w:w w:val="99"/>
                <w:sz w:val="16"/>
                <w:szCs w:val="16"/>
              </w:rPr>
              <w:t>（</w:t>
            </w:r>
            <w:r>
              <w:rPr>
                <w:rFonts w:ascii="仿宋" w:hAnsi="仿宋" w:eastAsia="仿宋" w:cs="仿宋"/>
                <w:w w:val="99"/>
                <w:sz w:val="16"/>
                <w:szCs w:val="16"/>
              </w:rPr>
              <w:t>2</w:t>
            </w:r>
            <w:r>
              <w:rPr>
                <w:rFonts w:hint="eastAsia" w:ascii="仿宋" w:hAnsi="仿宋" w:eastAsia="仿宋" w:cs="仿宋"/>
                <w:w w:val="99"/>
                <w:sz w:val="16"/>
                <w:szCs w:val="16"/>
              </w:rPr>
              <w:t>）精神病人在不能辨认或者不能控制自己行为时实施违法行为的；</w:t>
            </w:r>
          </w:p>
          <w:p>
            <w:pPr>
              <w:widowControl/>
              <w:spacing w:line="220" w:lineRule="exact"/>
              <w:textAlignment w:val="center"/>
              <w:rPr>
                <w:rFonts w:ascii="仿宋" w:hAnsi="仿宋" w:eastAsia="仿宋" w:cs="仿宋"/>
                <w:w w:val="99"/>
                <w:sz w:val="16"/>
                <w:szCs w:val="16"/>
              </w:rPr>
            </w:pPr>
            <w:r>
              <w:rPr>
                <w:rFonts w:hint="eastAsia" w:ascii="仿宋" w:hAnsi="仿宋" w:eastAsia="仿宋" w:cs="仿宋"/>
                <w:w w:val="99"/>
                <w:sz w:val="16"/>
                <w:szCs w:val="16"/>
              </w:rPr>
              <w:t>（</w:t>
            </w:r>
            <w:r>
              <w:rPr>
                <w:rFonts w:ascii="仿宋" w:hAnsi="仿宋" w:eastAsia="仿宋" w:cs="仿宋"/>
                <w:w w:val="99"/>
                <w:sz w:val="16"/>
                <w:szCs w:val="16"/>
              </w:rPr>
              <w:t>3</w:t>
            </w:r>
            <w:r>
              <w:rPr>
                <w:rFonts w:hint="eastAsia" w:ascii="仿宋" w:hAnsi="仿宋" w:eastAsia="仿宋" w:cs="仿宋"/>
                <w:w w:val="99"/>
                <w:sz w:val="16"/>
                <w:szCs w:val="16"/>
              </w:rPr>
              <w:t>）</w:t>
            </w:r>
            <w:r>
              <w:rPr>
                <w:rFonts w:ascii="仿宋" w:hAnsi="仿宋" w:eastAsia="仿宋" w:cs="仿宋"/>
                <w:w w:val="99"/>
                <w:sz w:val="16"/>
                <w:szCs w:val="16"/>
              </w:rPr>
              <w:t xml:space="preserve"> </w:t>
            </w:r>
            <w:r>
              <w:rPr>
                <w:rFonts w:hint="eastAsia" w:ascii="仿宋" w:hAnsi="仿宋" w:eastAsia="仿宋" w:cs="仿宋"/>
                <w:w w:val="99"/>
                <w:sz w:val="16"/>
                <w:szCs w:val="16"/>
              </w:rPr>
              <w:t>违法行为轻微并及时纠正，没有造成危害后果的；</w:t>
            </w:r>
          </w:p>
          <w:p>
            <w:pPr>
              <w:widowControl/>
              <w:spacing w:line="220" w:lineRule="exact"/>
              <w:textAlignment w:val="center"/>
              <w:rPr>
                <w:rFonts w:ascii="仿宋" w:hAnsi="仿宋" w:eastAsia="仿宋" w:cs="仿宋"/>
                <w:w w:val="99"/>
                <w:sz w:val="16"/>
                <w:szCs w:val="16"/>
              </w:rPr>
            </w:pPr>
            <w:r>
              <w:rPr>
                <w:rFonts w:hint="eastAsia" w:ascii="仿宋" w:hAnsi="仿宋" w:eastAsia="仿宋" w:cs="仿宋"/>
                <w:w w:val="99"/>
                <w:sz w:val="16"/>
                <w:szCs w:val="16"/>
              </w:rPr>
              <w:t>（</w:t>
            </w:r>
            <w:r>
              <w:rPr>
                <w:rFonts w:ascii="仿宋" w:hAnsi="仿宋" w:eastAsia="仿宋" w:cs="仿宋"/>
                <w:w w:val="99"/>
                <w:sz w:val="16"/>
                <w:szCs w:val="16"/>
              </w:rPr>
              <w:t>4</w:t>
            </w:r>
            <w:r>
              <w:rPr>
                <w:rFonts w:hint="eastAsia" w:ascii="仿宋" w:hAnsi="仿宋" w:eastAsia="仿宋" w:cs="仿宋"/>
                <w:w w:val="99"/>
                <w:sz w:val="16"/>
                <w:szCs w:val="16"/>
              </w:rPr>
              <w:t>）除法律另有规定外，违法行为在二年内未被发现的；</w:t>
            </w:r>
          </w:p>
          <w:p>
            <w:pPr>
              <w:widowControl/>
              <w:spacing w:line="220" w:lineRule="exact"/>
              <w:textAlignment w:val="center"/>
              <w:rPr>
                <w:rFonts w:ascii="仿宋" w:hAnsi="仿宋" w:eastAsia="仿宋" w:cs="仿宋"/>
                <w:w w:val="99"/>
                <w:sz w:val="16"/>
                <w:szCs w:val="16"/>
              </w:rPr>
            </w:pPr>
            <w:r>
              <w:rPr>
                <w:rFonts w:hint="eastAsia" w:ascii="仿宋" w:hAnsi="仿宋" w:eastAsia="仿宋" w:cs="仿宋"/>
                <w:w w:val="99"/>
                <w:sz w:val="16"/>
                <w:szCs w:val="16"/>
              </w:rPr>
              <w:t>（</w:t>
            </w:r>
            <w:r>
              <w:rPr>
                <w:rFonts w:ascii="仿宋" w:hAnsi="仿宋" w:eastAsia="仿宋" w:cs="仿宋"/>
                <w:w w:val="99"/>
                <w:sz w:val="16"/>
                <w:szCs w:val="16"/>
              </w:rPr>
              <w:t>5</w:t>
            </w:r>
            <w:r>
              <w:rPr>
                <w:rFonts w:hint="eastAsia" w:ascii="仿宋" w:hAnsi="仿宋" w:eastAsia="仿宋" w:cs="仿宋"/>
                <w:w w:val="99"/>
                <w:sz w:val="16"/>
                <w:szCs w:val="16"/>
              </w:rPr>
              <w:t>）其他依法应当不予行政处罚的。</w:t>
            </w:r>
          </w:p>
        </w:tc>
        <w:tc>
          <w:tcPr>
            <w:tcW w:w="1710"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 w:hAnsi="仿宋" w:eastAsia="仿宋" w:cs="仿宋"/>
                <w:szCs w:val="21"/>
              </w:rPr>
            </w:pPr>
          </w:p>
        </w:tc>
        <w:tc>
          <w:tcPr>
            <w:tcW w:w="1325" w:type="dxa"/>
            <w:tcBorders>
              <w:top w:val="single" w:color="000000" w:sz="4" w:space="0"/>
              <w:left w:val="single" w:color="000000" w:sz="4" w:space="0"/>
              <w:bottom w:val="single" w:color="000000" w:sz="4" w:space="0"/>
              <w:right w:val="single" w:color="000000" w:sz="4" w:space="0"/>
            </w:tcBorders>
            <w:vAlign w:val="center"/>
          </w:tcPr>
          <w:p>
            <w:pPr>
              <w:spacing w:line="560" w:lineRule="exact"/>
              <w:jc w:val="center"/>
              <w:rPr>
                <w:rFonts w:ascii="仿宋" w:hAnsi="仿宋" w:eastAsia="仿宋" w:cs="仿宋"/>
                <w:szCs w:val="21"/>
              </w:rPr>
            </w:pPr>
            <w:r>
              <w:rPr>
                <w:rFonts w:hint="eastAsia" w:ascii="仿宋" w:hAnsi="仿宋" w:eastAsia="仿宋" w:cs="仿宋"/>
                <w:w w:val="99"/>
                <w:sz w:val="16"/>
                <w:szCs w:val="16"/>
              </w:rPr>
              <w:t>市、县（市）区</w:t>
            </w:r>
          </w:p>
        </w:tc>
      </w:tr>
    </w:tbl>
    <w:p>
      <w:pPr>
        <w:spacing w:line="560" w:lineRule="exact"/>
        <w:rPr>
          <w:rFonts w:ascii="仿宋" w:hAnsi="仿宋" w:eastAsia="仿宋" w:cs="仿宋"/>
          <w:sz w:val="32"/>
          <w:szCs w:val="32"/>
        </w:rPr>
      </w:pPr>
    </w:p>
    <w:p>
      <w:pPr>
        <w:spacing w:line="560" w:lineRule="exact"/>
        <w:jc w:val="left"/>
        <w:rPr>
          <w:rFonts w:ascii="黑体" w:hAnsi="黑体" w:eastAsia="黑体" w:cs="黑体"/>
          <w:sz w:val="32"/>
          <w:szCs w:val="32"/>
        </w:rPr>
      </w:pPr>
    </w:p>
    <w:p>
      <w:pPr>
        <w:spacing w:line="560" w:lineRule="exact"/>
        <w:jc w:val="left"/>
        <w:rPr>
          <w:rFonts w:ascii="黑体" w:hAnsi="黑体" w:eastAsia="黑体" w:cs="黑体"/>
          <w:sz w:val="32"/>
          <w:szCs w:val="32"/>
        </w:rPr>
      </w:pPr>
    </w:p>
    <w:p>
      <w:pPr>
        <w:spacing w:line="560" w:lineRule="exact"/>
        <w:jc w:val="left"/>
        <w:rPr>
          <w:rFonts w:ascii="黑体" w:hAnsi="黑体" w:eastAsia="黑体" w:cs="黑体"/>
          <w:sz w:val="32"/>
          <w:szCs w:val="32"/>
        </w:rPr>
      </w:pPr>
    </w:p>
    <w:p>
      <w:pPr>
        <w:spacing w:line="560" w:lineRule="exact"/>
        <w:jc w:val="left"/>
        <w:rPr>
          <w:rFonts w:ascii="黑体" w:hAnsi="黑体" w:eastAsia="黑体" w:cs="黑体"/>
          <w:sz w:val="32"/>
          <w:szCs w:val="32"/>
        </w:rPr>
      </w:pPr>
    </w:p>
    <w:p>
      <w:pPr>
        <w:spacing w:line="560" w:lineRule="exact"/>
        <w:jc w:val="left"/>
        <w:rPr>
          <w:rFonts w:ascii="黑体" w:hAnsi="黑体" w:eastAsia="黑体" w:cs="黑体"/>
          <w:sz w:val="32"/>
          <w:szCs w:val="32"/>
        </w:rPr>
      </w:pPr>
    </w:p>
    <w:p>
      <w:pPr>
        <w:spacing w:line="560" w:lineRule="exact"/>
        <w:jc w:val="left"/>
        <w:rPr>
          <w:rFonts w:ascii="黑体" w:hAnsi="黑体" w:eastAsia="黑体" w:cs="黑体"/>
          <w:sz w:val="32"/>
          <w:szCs w:val="32"/>
        </w:rPr>
      </w:pPr>
    </w:p>
    <w:p>
      <w:pPr>
        <w:spacing w:line="560" w:lineRule="exact"/>
        <w:jc w:val="left"/>
        <w:rPr>
          <w:rFonts w:ascii="黑体" w:hAnsi="黑体" w:eastAsia="黑体" w:cs="黑体"/>
          <w:sz w:val="32"/>
          <w:szCs w:val="32"/>
        </w:rPr>
      </w:pPr>
    </w:p>
    <w:p>
      <w:pPr>
        <w:spacing w:line="560" w:lineRule="exact"/>
        <w:jc w:val="left"/>
        <w:rPr>
          <w:rFonts w:ascii="黑体" w:hAnsi="黑体" w:eastAsia="黑体" w:cs="黑体"/>
          <w:sz w:val="32"/>
          <w:szCs w:val="32"/>
        </w:rPr>
      </w:pPr>
    </w:p>
    <w:p>
      <w:pPr>
        <w:spacing w:line="560" w:lineRule="exact"/>
        <w:jc w:val="left"/>
        <w:rPr>
          <w:rFonts w:ascii="黑体" w:hAnsi="黑体" w:eastAsia="黑体" w:cs="黑体"/>
          <w:sz w:val="32"/>
          <w:szCs w:val="32"/>
        </w:rPr>
      </w:pPr>
    </w:p>
    <w:p>
      <w:pPr>
        <w:spacing w:line="560" w:lineRule="exact"/>
        <w:jc w:val="left"/>
        <w:rPr>
          <w:rFonts w:ascii="黑体" w:hAnsi="黑体" w:eastAsia="黑体" w:cs="黑体"/>
          <w:sz w:val="32"/>
          <w:szCs w:val="32"/>
        </w:rPr>
      </w:pPr>
    </w:p>
    <w:p>
      <w:pPr>
        <w:spacing w:line="560" w:lineRule="exact"/>
        <w:jc w:val="left"/>
        <w:rPr>
          <w:rFonts w:ascii="黑体" w:hAnsi="黑体" w:eastAsia="黑体" w:cs="黑体"/>
          <w:sz w:val="32"/>
          <w:szCs w:val="32"/>
        </w:rPr>
      </w:pPr>
    </w:p>
    <w:p>
      <w:pPr>
        <w:spacing w:line="560" w:lineRule="exact"/>
        <w:jc w:val="left"/>
        <w:rPr>
          <w:rFonts w:ascii="黑体" w:hAnsi="黑体" w:eastAsia="黑体" w:cs="黑体"/>
          <w:sz w:val="32"/>
          <w:szCs w:val="32"/>
        </w:rPr>
      </w:pPr>
    </w:p>
    <w:p>
      <w:pPr>
        <w:spacing w:line="560" w:lineRule="exact"/>
        <w:jc w:val="lef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 xml:space="preserve">3  </w:t>
      </w:r>
    </w:p>
    <w:p>
      <w:pPr>
        <w:spacing w:line="560" w:lineRule="exact"/>
        <w:jc w:val="center"/>
        <w:rPr>
          <w:rFonts w:ascii="宋体" w:cs="宋体"/>
          <w:b/>
          <w:bCs/>
          <w:sz w:val="44"/>
          <w:szCs w:val="44"/>
        </w:rPr>
      </w:pPr>
    </w:p>
    <w:p>
      <w:pPr>
        <w:spacing w:line="560" w:lineRule="exact"/>
        <w:jc w:val="center"/>
        <w:rPr>
          <w:rFonts w:ascii="宋体" w:cs="宋体"/>
          <w:b/>
          <w:bCs/>
          <w:sz w:val="44"/>
          <w:szCs w:val="44"/>
        </w:rPr>
      </w:pPr>
      <w:r>
        <w:rPr>
          <w:rFonts w:hint="eastAsia" w:ascii="宋体" w:hAnsi="宋体" w:cs="宋体"/>
          <w:sz w:val="44"/>
          <w:szCs w:val="44"/>
          <w:lang w:eastAsia="zh-CN"/>
        </w:rPr>
        <w:t>汤原县</w:t>
      </w:r>
      <w:r>
        <w:rPr>
          <w:rFonts w:hint="eastAsia" w:ascii="宋体" w:hAnsi="宋体" w:cs="宋体"/>
          <w:sz w:val="44"/>
          <w:szCs w:val="44"/>
        </w:rPr>
        <w:t>市场监督管理局不予行政处罚事项清单（省清单</w:t>
      </w:r>
      <w:r>
        <w:rPr>
          <w:rFonts w:ascii="宋体" w:hAnsi="宋体" w:cs="宋体"/>
          <w:sz w:val="44"/>
          <w:szCs w:val="44"/>
        </w:rPr>
        <w:t>2</w:t>
      </w:r>
      <w:r>
        <w:rPr>
          <w:rFonts w:hint="eastAsia" w:ascii="宋体" w:hAnsi="宋体" w:cs="宋体"/>
          <w:sz w:val="44"/>
          <w:szCs w:val="44"/>
          <w:lang w:val="en-US" w:eastAsia="zh-CN"/>
        </w:rPr>
        <w:t>1</w:t>
      </w:r>
      <w:r>
        <w:rPr>
          <w:rFonts w:hint="eastAsia" w:ascii="宋体" w:hAnsi="宋体" w:cs="宋体"/>
          <w:sz w:val="44"/>
          <w:szCs w:val="44"/>
        </w:rPr>
        <w:t>项）</w:t>
      </w:r>
    </w:p>
    <w:p>
      <w:pPr>
        <w:spacing w:line="240" w:lineRule="exact"/>
        <w:rPr>
          <w:rFonts w:ascii="仿宋_GB2312" w:hAnsi="宋体" w:eastAsia="仿宋_GB2312"/>
          <w:sz w:val="28"/>
          <w:szCs w:val="28"/>
        </w:rPr>
      </w:pPr>
    </w:p>
    <w:tbl>
      <w:tblPr>
        <w:tblStyle w:val="7"/>
        <w:tblW w:w="14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774"/>
        <w:gridCol w:w="2597"/>
        <w:gridCol w:w="3502"/>
        <w:gridCol w:w="4472"/>
        <w:gridCol w:w="1695"/>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spacing w:line="400" w:lineRule="exact"/>
              <w:textAlignment w:val="center"/>
              <w:rPr>
                <w:rFonts w:ascii="黑体" w:hAnsi="宋体" w:eastAsia="黑体" w:cs="黑体"/>
                <w:color w:val="000000"/>
                <w:sz w:val="24"/>
              </w:rPr>
            </w:pPr>
            <w:r>
              <w:rPr>
                <w:rFonts w:hint="eastAsia" w:ascii="黑体" w:hAnsi="宋体" w:eastAsia="黑体" w:cs="黑体"/>
                <w:color w:val="000000"/>
                <w:sz w:val="24"/>
              </w:rPr>
              <w:t>序号</w:t>
            </w:r>
          </w:p>
        </w:tc>
        <w:tc>
          <w:tcPr>
            <w:tcW w:w="774" w:type="dxa"/>
            <w:vAlign w:val="center"/>
          </w:tcPr>
          <w:p>
            <w:pPr>
              <w:widowControl/>
              <w:spacing w:line="400" w:lineRule="exact"/>
              <w:textAlignment w:val="center"/>
              <w:rPr>
                <w:rFonts w:ascii="黑体" w:hAnsi="宋体" w:eastAsia="黑体" w:cs="黑体"/>
                <w:color w:val="000000"/>
                <w:sz w:val="24"/>
              </w:rPr>
            </w:pPr>
            <w:r>
              <w:rPr>
                <w:rFonts w:hint="eastAsia" w:ascii="黑体" w:hAnsi="宋体" w:eastAsia="黑体" w:cs="黑体"/>
                <w:color w:val="000000"/>
                <w:sz w:val="24"/>
              </w:rPr>
              <w:t>管理领域</w:t>
            </w:r>
          </w:p>
        </w:tc>
        <w:tc>
          <w:tcPr>
            <w:tcW w:w="2597" w:type="dxa"/>
            <w:vAlign w:val="center"/>
          </w:tcPr>
          <w:p>
            <w:pPr>
              <w:widowControl/>
              <w:spacing w:line="400" w:lineRule="exact"/>
              <w:ind w:firstLine="240" w:firstLineChars="100"/>
              <w:textAlignment w:val="center"/>
              <w:rPr>
                <w:rFonts w:ascii="黑体" w:hAnsi="宋体" w:eastAsia="黑体" w:cs="黑体"/>
                <w:color w:val="000000"/>
                <w:sz w:val="24"/>
              </w:rPr>
            </w:pPr>
            <w:r>
              <w:rPr>
                <w:rFonts w:hint="eastAsia" w:ascii="黑体" w:hAnsi="宋体" w:eastAsia="黑体" w:cs="黑体"/>
                <w:color w:val="000000"/>
                <w:sz w:val="24"/>
              </w:rPr>
              <w:t>不予行政处罚事项</w:t>
            </w:r>
          </w:p>
        </w:tc>
        <w:tc>
          <w:tcPr>
            <w:tcW w:w="3502"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480" w:firstLineChars="200"/>
              <w:textAlignment w:val="center"/>
              <w:rPr>
                <w:rFonts w:ascii="黑体" w:hAnsi="宋体" w:eastAsia="黑体" w:cs="黑体"/>
                <w:color w:val="000000"/>
                <w:sz w:val="24"/>
              </w:rPr>
            </w:pPr>
            <w:r>
              <w:rPr>
                <w:rFonts w:hint="eastAsia" w:ascii="黑体" w:hAnsi="宋体" w:eastAsia="黑体" w:cs="黑体"/>
                <w:color w:val="000000"/>
                <w:sz w:val="24"/>
              </w:rPr>
              <w:t>不予行政处罚的情形</w:t>
            </w:r>
          </w:p>
        </w:tc>
        <w:tc>
          <w:tcPr>
            <w:tcW w:w="4472"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240" w:firstLineChars="100"/>
              <w:textAlignment w:val="center"/>
              <w:rPr>
                <w:rFonts w:ascii="黑体" w:hAnsi="宋体" w:eastAsia="黑体" w:cs="黑体"/>
                <w:color w:val="000000"/>
                <w:sz w:val="24"/>
              </w:rPr>
            </w:pPr>
            <w:r>
              <w:rPr>
                <w:rFonts w:hint="eastAsia" w:ascii="黑体" w:hAnsi="宋体" w:eastAsia="黑体" w:cs="黑体"/>
                <w:color w:val="000000"/>
                <w:sz w:val="24"/>
              </w:rPr>
              <w:t>不予行政处罚的依据</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r>
              <w:rPr>
                <w:rFonts w:hint="eastAsia" w:ascii="黑体" w:hAnsi="宋体" w:eastAsia="黑体" w:cs="黑体"/>
                <w:color w:val="000000"/>
                <w:sz w:val="24"/>
              </w:rPr>
              <w:t>配套监管措施</w:t>
            </w: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r>
              <w:rPr>
                <w:rFonts w:hint="eastAsia" w:ascii="黑体" w:hAnsi="宋体" w:eastAsia="黑体" w:cs="黑体"/>
                <w:color w:val="000000"/>
                <w:sz w:val="24"/>
              </w:rPr>
              <w:t>权力层级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spacing w:line="220" w:lineRule="exact"/>
              <w:textAlignment w:val="center"/>
              <w:rPr>
                <w:rFonts w:ascii="黑体" w:hAnsi="宋体" w:eastAsia="黑体" w:cs="黑体"/>
                <w:color w:val="000000"/>
                <w:sz w:val="24"/>
              </w:rPr>
            </w:pPr>
            <w:r>
              <w:rPr>
                <w:rFonts w:ascii="仿宋" w:hAnsi="仿宋" w:eastAsia="仿宋" w:cs="仿宋"/>
                <w:color w:val="000000"/>
                <w:kern w:val="0"/>
                <w:sz w:val="16"/>
                <w:szCs w:val="16"/>
              </w:rPr>
              <w:t>1</w:t>
            </w:r>
          </w:p>
        </w:tc>
        <w:tc>
          <w:tcPr>
            <w:tcW w:w="774" w:type="dxa"/>
            <w:vAlign w:val="center"/>
          </w:tcPr>
          <w:p>
            <w:pPr>
              <w:spacing w:line="220" w:lineRule="exact"/>
              <w:rPr>
                <w:rFonts w:ascii="仿宋" w:hAnsi="仿宋" w:eastAsia="仿宋" w:cs="仿宋"/>
                <w:sz w:val="16"/>
                <w:szCs w:val="16"/>
              </w:rPr>
            </w:pPr>
            <w:r>
              <w:rPr>
                <w:rFonts w:hint="eastAsia" w:ascii="仿宋" w:hAnsi="仿宋" w:eastAsia="仿宋" w:cs="仿宋"/>
                <w:sz w:val="16"/>
                <w:szCs w:val="16"/>
              </w:rPr>
              <w:t>药品监</w:t>
            </w:r>
          </w:p>
          <w:p>
            <w:pPr>
              <w:spacing w:line="220" w:lineRule="exact"/>
              <w:rPr>
                <w:rFonts w:ascii="黑体" w:hAnsi="宋体" w:eastAsia="黑体" w:cs="黑体"/>
                <w:color w:val="000000"/>
                <w:sz w:val="24"/>
              </w:rPr>
            </w:pPr>
            <w:r>
              <w:rPr>
                <w:rFonts w:hint="eastAsia" w:ascii="仿宋" w:hAnsi="仿宋" w:eastAsia="仿宋" w:cs="仿宋"/>
                <w:sz w:val="16"/>
                <w:szCs w:val="16"/>
              </w:rPr>
              <w:t>管领域</w:t>
            </w:r>
          </w:p>
        </w:tc>
        <w:tc>
          <w:tcPr>
            <w:tcW w:w="2597" w:type="dxa"/>
            <w:vAlign w:val="center"/>
          </w:tcPr>
          <w:p>
            <w:pPr>
              <w:widowControl/>
              <w:snapToGrid w:val="0"/>
              <w:textAlignment w:val="center"/>
              <w:rPr>
                <w:rFonts w:ascii="仿宋" w:hAnsi="仿宋" w:eastAsia="仿宋" w:cs="仿宋"/>
                <w:kern w:val="0"/>
                <w:sz w:val="16"/>
                <w:szCs w:val="16"/>
                <w:shd w:val="clear" w:color="auto" w:fill="FFFFFF"/>
              </w:rPr>
            </w:pPr>
            <w:r>
              <w:rPr>
                <w:rFonts w:hint="eastAsia" w:ascii="仿宋" w:hAnsi="仿宋" w:eastAsia="仿宋" w:cs="仿宋"/>
                <w:kern w:val="0"/>
                <w:sz w:val="16"/>
                <w:szCs w:val="16"/>
                <w:shd w:val="clear" w:color="auto" w:fill="FFFFFF"/>
              </w:rPr>
              <w:t>初次违反药品、医疗器械、化妆品监督管理规定</w:t>
            </w:r>
          </w:p>
        </w:tc>
        <w:tc>
          <w:tcPr>
            <w:tcW w:w="3502" w:type="dxa"/>
            <w:tcBorders>
              <w:top w:val="single" w:color="000000" w:sz="4" w:space="0"/>
              <w:left w:val="single" w:color="000000" w:sz="4" w:space="0"/>
              <w:bottom w:val="single" w:color="000000" w:sz="4" w:space="0"/>
              <w:right w:val="single" w:color="000000" w:sz="4" w:space="0"/>
            </w:tcBorders>
            <w:vAlign w:val="center"/>
          </w:tcPr>
          <w:p>
            <w:pPr>
              <w:widowControl/>
              <w:snapToGrid w:val="0"/>
              <w:textAlignment w:val="center"/>
              <w:rPr>
                <w:rFonts w:ascii="仿宋" w:hAnsi="仿宋" w:eastAsia="仿宋" w:cs="仿宋"/>
                <w:kern w:val="0"/>
                <w:sz w:val="16"/>
                <w:szCs w:val="16"/>
                <w:shd w:val="clear" w:color="auto" w:fill="FFFFFF"/>
              </w:rPr>
            </w:pPr>
            <w:r>
              <w:rPr>
                <w:rFonts w:hint="eastAsia" w:ascii="仿宋" w:hAnsi="仿宋" w:eastAsia="仿宋" w:cs="仿宋"/>
                <w:kern w:val="0"/>
                <w:sz w:val="16"/>
                <w:szCs w:val="16"/>
                <w:shd w:val="clear" w:color="auto" w:fill="FFFFFF"/>
              </w:rPr>
              <w:t>当事人已自行改正或者在药品监管部门责令改正的期限内改正，未造成危害后果的，不予处罚</w:t>
            </w:r>
          </w:p>
        </w:tc>
        <w:tc>
          <w:tcPr>
            <w:tcW w:w="4472" w:type="dxa"/>
            <w:tcBorders>
              <w:top w:val="single" w:color="000000" w:sz="4" w:space="0"/>
              <w:left w:val="single" w:color="000000" w:sz="4" w:space="0"/>
              <w:bottom w:val="single" w:color="000000" w:sz="4" w:space="0"/>
              <w:right w:val="single" w:color="000000" w:sz="4" w:space="0"/>
            </w:tcBorders>
            <w:vAlign w:val="center"/>
          </w:tcPr>
          <w:p>
            <w:pPr>
              <w:pStyle w:val="6"/>
              <w:widowControl/>
              <w:adjustRightInd w:val="0"/>
              <w:snapToGrid w:val="0"/>
              <w:spacing w:beforeAutospacing="0" w:afterAutospacing="0" w:line="220" w:lineRule="exact"/>
              <w:jc w:val="both"/>
              <w:rPr>
                <w:rFonts w:ascii="黑体" w:hAnsi="宋体" w:eastAsia="黑体" w:cs="黑体"/>
                <w:color w:val="000000"/>
              </w:rPr>
            </w:pPr>
            <w:r>
              <w:rPr>
                <w:rFonts w:hint="eastAsia" w:ascii="仿宋" w:hAnsi="仿宋" w:eastAsia="仿宋" w:cs="仿宋"/>
                <w:sz w:val="16"/>
                <w:szCs w:val="16"/>
                <w:shd w:val="clear" w:color="auto" w:fill="FFFFFF"/>
              </w:rPr>
              <w:t>违反《药品管理法》第四十九条第一款，没有主观故意，药品标签或者说明书印制时存在瑕疵，不影响用药安全有效，且不会对消费者造成误导的；</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spacing w:line="220" w:lineRule="exact"/>
              <w:textAlignment w:val="center"/>
              <w:rPr>
                <w:rFonts w:hint="eastAsia" w:ascii="黑体" w:hAnsi="宋体" w:eastAsia="黑体" w:cs="黑体"/>
                <w:color w:val="000000"/>
                <w:sz w:val="24"/>
                <w:lang w:eastAsia="zh-CN"/>
              </w:rPr>
            </w:pPr>
            <w:r>
              <w:rPr>
                <w:rFonts w:hint="eastAsia" w:ascii="仿宋" w:hAnsi="仿宋" w:eastAsia="仿宋" w:cs="仿宋"/>
                <w:color w:val="000000"/>
                <w:kern w:val="0"/>
                <w:sz w:val="16"/>
                <w:szCs w:val="16"/>
                <w:lang w:val="en-US" w:eastAsia="zh-CN"/>
              </w:rPr>
              <w:t>2</w:t>
            </w:r>
          </w:p>
        </w:tc>
        <w:tc>
          <w:tcPr>
            <w:tcW w:w="774" w:type="dxa"/>
            <w:vAlign w:val="center"/>
          </w:tcPr>
          <w:p>
            <w:pPr>
              <w:widowControl/>
              <w:spacing w:line="220" w:lineRule="exact"/>
              <w:textAlignment w:val="center"/>
              <w:rPr>
                <w:rFonts w:ascii="仿宋" w:hAnsi="仿宋" w:eastAsia="仿宋" w:cs="仿宋"/>
                <w:sz w:val="16"/>
                <w:szCs w:val="16"/>
              </w:rPr>
            </w:pPr>
            <w:r>
              <w:rPr>
                <w:rFonts w:hint="eastAsia" w:ascii="仿宋" w:hAnsi="仿宋" w:eastAsia="仿宋" w:cs="仿宋"/>
                <w:sz w:val="16"/>
                <w:szCs w:val="16"/>
              </w:rPr>
              <w:t>药品监</w:t>
            </w:r>
          </w:p>
          <w:p>
            <w:pPr>
              <w:widowControl/>
              <w:spacing w:line="220" w:lineRule="exact"/>
              <w:textAlignment w:val="center"/>
              <w:rPr>
                <w:rFonts w:ascii="黑体" w:hAnsi="宋体" w:eastAsia="黑体" w:cs="黑体"/>
                <w:color w:val="000000"/>
                <w:sz w:val="24"/>
              </w:rPr>
            </w:pPr>
            <w:r>
              <w:rPr>
                <w:rFonts w:hint="eastAsia" w:ascii="仿宋" w:hAnsi="仿宋" w:eastAsia="仿宋" w:cs="仿宋"/>
                <w:sz w:val="16"/>
                <w:szCs w:val="16"/>
              </w:rPr>
              <w:t>管领域</w:t>
            </w:r>
          </w:p>
        </w:tc>
        <w:tc>
          <w:tcPr>
            <w:tcW w:w="2597" w:type="dxa"/>
            <w:vAlign w:val="center"/>
          </w:tcPr>
          <w:p>
            <w:pPr>
              <w:widowControl/>
              <w:snapToGrid w:val="0"/>
              <w:textAlignment w:val="center"/>
              <w:rPr>
                <w:rFonts w:ascii="黑体" w:hAnsi="宋体" w:eastAsia="黑体" w:cs="黑体"/>
                <w:color w:val="000000"/>
                <w:sz w:val="24"/>
              </w:rPr>
            </w:pPr>
            <w:r>
              <w:rPr>
                <w:rFonts w:hint="eastAsia" w:ascii="仿宋" w:hAnsi="仿宋" w:eastAsia="仿宋" w:cs="仿宋"/>
                <w:kern w:val="0"/>
                <w:sz w:val="16"/>
                <w:szCs w:val="16"/>
                <w:shd w:val="clear" w:color="auto" w:fill="FFFFFF"/>
              </w:rPr>
              <w:t>初次违反药品、医疗器械、化妆品监督管理规定</w:t>
            </w:r>
          </w:p>
        </w:tc>
        <w:tc>
          <w:tcPr>
            <w:tcW w:w="3502" w:type="dxa"/>
            <w:tcBorders>
              <w:top w:val="single" w:color="000000" w:sz="4" w:space="0"/>
              <w:left w:val="single" w:color="000000" w:sz="4" w:space="0"/>
              <w:bottom w:val="single" w:color="000000" w:sz="4" w:space="0"/>
              <w:right w:val="single" w:color="000000" w:sz="4" w:space="0"/>
            </w:tcBorders>
            <w:vAlign w:val="center"/>
          </w:tcPr>
          <w:p>
            <w:pPr>
              <w:widowControl/>
              <w:snapToGrid w:val="0"/>
              <w:textAlignment w:val="center"/>
              <w:rPr>
                <w:rFonts w:ascii="黑体" w:hAnsi="宋体" w:eastAsia="黑体" w:cs="黑体"/>
                <w:color w:val="000000"/>
                <w:sz w:val="24"/>
              </w:rPr>
            </w:pPr>
            <w:r>
              <w:rPr>
                <w:rFonts w:hint="eastAsia" w:ascii="仿宋" w:hAnsi="仿宋" w:eastAsia="仿宋" w:cs="仿宋"/>
                <w:kern w:val="0"/>
                <w:sz w:val="16"/>
                <w:szCs w:val="16"/>
                <w:shd w:val="clear" w:color="auto" w:fill="FFFFFF"/>
              </w:rPr>
              <w:t>当事人已自行改正或者在药品监管部门责令改正的期限内改正，未造成危害后果的，不予处罚</w:t>
            </w:r>
          </w:p>
        </w:tc>
        <w:tc>
          <w:tcPr>
            <w:tcW w:w="4472" w:type="dxa"/>
            <w:tcBorders>
              <w:top w:val="single" w:color="000000" w:sz="4" w:space="0"/>
              <w:left w:val="single" w:color="000000" w:sz="4" w:space="0"/>
              <w:bottom w:val="single" w:color="000000" w:sz="4" w:space="0"/>
              <w:right w:val="single" w:color="000000" w:sz="4" w:space="0"/>
            </w:tcBorders>
            <w:vAlign w:val="center"/>
          </w:tcPr>
          <w:p>
            <w:pPr>
              <w:pStyle w:val="6"/>
              <w:widowControl/>
              <w:adjustRightInd w:val="0"/>
              <w:snapToGrid w:val="0"/>
              <w:spacing w:beforeAutospacing="0" w:afterAutospacing="0" w:line="220" w:lineRule="exact"/>
              <w:jc w:val="both"/>
              <w:rPr>
                <w:rFonts w:ascii="黑体" w:hAnsi="宋体" w:eastAsia="黑体" w:cs="黑体"/>
                <w:color w:val="000000"/>
              </w:rPr>
            </w:pPr>
            <w:r>
              <w:rPr>
                <w:rFonts w:hint="eastAsia" w:ascii="仿宋" w:hAnsi="仿宋" w:eastAsia="仿宋" w:cs="仿宋"/>
                <w:sz w:val="16"/>
                <w:szCs w:val="16"/>
                <w:shd w:val="clear" w:color="auto" w:fill="FFFFFF"/>
              </w:rPr>
              <w:t>违反《药品管理法》第五十七条，药品经营企业购销药品，没有及时登记购销记录，但索证索票齐全、不影响追溯的；</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spacing w:line="220" w:lineRule="exact"/>
              <w:textAlignment w:val="center"/>
              <w:rPr>
                <w:rFonts w:hint="eastAsia" w:ascii="仿宋" w:hAnsi="仿宋" w:eastAsia="仿宋" w:cs="仿宋"/>
                <w:color w:val="000000"/>
                <w:kern w:val="0"/>
                <w:sz w:val="16"/>
                <w:szCs w:val="16"/>
                <w:lang w:eastAsia="zh-CN"/>
              </w:rPr>
            </w:pPr>
            <w:r>
              <w:rPr>
                <w:rFonts w:hint="eastAsia" w:ascii="仿宋" w:hAnsi="仿宋" w:eastAsia="仿宋" w:cs="仿宋"/>
                <w:color w:val="000000"/>
                <w:kern w:val="0"/>
                <w:sz w:val="16"/>
                <w:szCs w:val="16"/>
                <w:lang w:val="en-US" w:eastAsia="zh-CN"/>
              </w:rPr>
              <w:t>3</w:t>
            </w:r>
          </w:p>
        </w:tc>
        <w:tc>
          <w:tcPr>
            <w:tcW w:w="774" w:type="dxa"/>
            <w:vAlign w:val="center"/>
          </w:tcPr>
          <w:p>
            <w:pPr>
              <w:widowControl/>
              <w:spacing w:line="220" w:lineRule="exact"/>
              <w:textAlignment w:val="center"/>
              <w:rPr>
                <w:rFonts w:ascii="仿宋" w:hAnsi="仿宋" w:eastAsia="仿宋" w:cs="仿宋"/>
                <w:sz w:val="16"/>
                <w:szCs w:val="16"/>
              </w:rPr>
            </w:pPr>
            <w:r>
              <w:rPr>
                <w:rFonts w:hint="eastAsia" w:ascii="仿宋" w:hAnsi="仿宋" w:eastAsia="仿宋" w:cs="仿宋"/>
                <w:sz w:val="16"/>
                <w:szCs w:val="16"/>
              </w:rPr>
              <w:t>药品监管领域</w:t>
            </w:r>
          </w:p>
        </w:tc>
        <w:tc>
          <w:tcPr>
            <w:tcW w:w="2597" w:type="dxa"/>
            <w:vAlign w:val="center"/>
          </w:tcPr>
          <w:p>
            <w:pPr>
              <w:widowControl/>
              <w:snapToGrid w:val="0"/>
              <w:textAlignment w:val="center"/>
              <w:rPr>
                <w:rFonts w:ascii="黑体" w:hAnsi="宋体" w:eastAsia="黑体" w:cs="黑体"/>
                <w:color w:val="000000"/>
                <w:sz w:val="24"/>
              </w:rPr>
            </w:pPr>
            <w:r>
              <w:rPr>
                <w:rFonts w:hint="eastAsia" w:ascii="仿宋" w:hAnsi="仿宋" w:eastAsia="仿宋" w:cs="仿宋"/>
                <w:kern w:val="0"/>
                <w:sz w:val="16"/>
                <w:szCs w:val="16"/>
                <w:shd w:val="clear" w:color="auto" w:fill="FFFFFF"/>
              </w:rPr>
              <w:t>初次违反药品、医疗器械、化妆品监督管理规定</w:t>
            </w:r>
          </w:p>
        </w:tc>
        <w:tc>
          <w:tcPr>
            <w:tcW w:w="3502" w:type="dxa"/>
            <w:tcBorders>
              <w:top w:val="single" w:color="000000" w:sz="4" w:space="0"/>
              <w:left w:val="single" w:color="000000" w:sz="4" w:space="0"/>
              <w:bottom w:val="single" w:color="000000" w:sz="4" w:space="0"/>
              <w:right w:val="single" w:color="000000" w:sz="4" w:space="0"/>
            </w:tcBorders>
            <w:vAlign w:val="center"/>
          </w:tcPr>
          <w:p>
            <w:pPr>
              <w:widowControl/>
              <w:snapToGrid w:val="0"/>
              <w:textAlignment w:val="center"/>
              <w:rPr>
                <w:rFonts w:ascii="黑体" w:hAnsi="宋体" w:eastAsia="黑体" w:cs="黑体"/>
                <w:color w:val="000000"/>
                <w:sz w:val="24"/>
              </w:rPr>
            </w:pPr>
            <w:r>
              <w:rPr>
                <w:rFonts w:hint="eastAsia" w:ascii="仿宋" w:hAnsi="仿宋" w:eastAsia="仿宋" w:cs="仿宋"/>
                <w:kern w:val="0"/>
                <w:sz w:val="16"/>
                <w:szCs w:val="16"/>
                <w:shd w:val="clear" w:color="auto" w:fill="FFFFFF"/>
              </w:rPr>
              <w:t>当事人已自行改正或者在药品监管部门责令改正的期限内改正，未造成危害后果的，不予处罚</w:t>
            </w:r>
          </w:p>
        </w:tc>
        <w:tc>
          <w:tcPr>
            <w:tcW w:w="4472" w:type="dxa"/>
            <w:tcBorders>
              <w:top w:val="single" w:color="000000" w:sz="4" w:space="0"/>
              <w:left w:val="single" w:color="000000" w:sz="4" w:space="0"/>
              <w:bottom w:val="single" w:color="000000" w:sz="4" w:space="0"/>
              <w:right w:val="single" w:color="000000" w:sz="4" w:space="0"/>
            </w:tcBorders>
            <w:vAlign w:val="center"/>
          </w:tcPr>
          <w:p>
            <w:pPr>
              <w:pStyle w:val="6"/>
              <w:widowControl/>
              <w:adjustRightInd w:val="0"/>
              <w:snapToGrid w:val="0"/>
              <w:spacing w:beforeAutospacing="0" w:afterAutospacing="0" w:line="220" w:lineRule="exact"/>
              <w:jc w:val="both"/>
              <w:rPr>
                <w:rFonts w:ascii="仿宋" w:hAnsi="仿宋" w:eastAsia="仿宋" w:cs="仿宋"/>
                <w:sz w:val="16"/>
                <w:szCs w:val="16"/>
                <w:shd w:val="clear" w:color="auto" w:fill="FFFFFF"/>
              </w:rPr>
            </w:pPr>
            <w:r>
              <w:rPr>
                <w:rFonts w:hint="eastAsia" w:ascii="仿宋" w:hAnsi="仿宋" w:eastAsia="仿宋" w:cs="仿宋"/>
                <w:sz w:val="16"/>
                <w:szCs w:val="16"/>
                <w:shd w:val="clear" w:color="auto" w:fill="FFFFFF"/>
              </w:rPr>
              <w:t>违反《药品管理法》第八十一条第一款，药品经营企业、医疗机构未按照规定报告疑似药品不良反应的；</w:t>
            </w:r>
          </w:p>
          <w:p>
            <w:pPr>
              <w:widowControl/>
              <w:spacing w:line="220" w:lineRule="exact"/>
              <w:rPr>
                <w:rFonts w:ascii="黑体" w:hAnsi="宋体" w:eastAsia="黑体" w:cs="黑体"/>
                <w:color w:val="000000"/>
                <w:sz w:val="24"/>
              </w:rPr>
            </w:pP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spacing w:line="220" w:lineRule="exact"/>
              <w:textAlignment w:val="center"/>
              <w:rPr>
                <w:rFonts w:hint="eastAsia" w:ascii="仿宋" w:hAnsi="仿宋" w:eastAsia="仿宋" w:cs="仿宋"/>
                <w:color w:val="000000"/>
                <w:kern w:val="0"/>
                <w:sz w:val="16"/>
                <w:szCs w:val="16"/>
                <w:lang w:eastAsia="zh-CN"/>
              </w:rPr>
            </w:pPr>
            <w:r>
              <w:rPr>
                <w:rFonts w:hint="eastAsia" w:ascii="仿宋" w:hAnsi="仿宋" w:eastAsia="仿宋" w:cs="仿宋"/>
                <w:color w:val="000000"/>
                <w:kern w:val="0"/>
                <w:sz w:val="16"/>
                <w:szCs w:val="16"/>
                <w:lang w:val="en-US" w:eastAsia="zh-CN"/>
              </w:rPr>
              <w:t>4</w:t>
            </w:r>
          </w:p>
        </w:tc>
        <w:tc>
          <w:tcPr>
            <w:tcW w:w="774" w:type="dxa"/>
            <w:vAlign w:val="center"/>
          </w:tcPr>
          <w:p>
            <w:pPr>
              <w:widowControl/>
              <w:spacing w:line="220" w:lineRule="exact"/>
              <w:textAlignment w:val="center"/>
              <w:rPr>
                <w:rFonts w:ascii="仿宋" w:hAnsi="仿宋" w:eastAsia="仿宋" w:cs="仿宋"/>
                <w:sz w:val="16"/>
                <w:szCs w:val="16"/>
              </w:rPr>
            </w:pPr>
            <w:r>
              <w:rPr>
                <w:rFonts w:hint="eastAsia" w:ascii="仿宋" w:hAnsi="仿宋" w:eastAsia="仿宋" w:cs="仿宋"/>
                <w:sz w:val="16"/>
                <w:szCs w:val="16"/>
              </w:rPr>
              <w:t>药品监管领域</w:t>
            </w:r>
          </w:p>
        </w:tc>
        <w:tc>
          <w:tcPr>
            <w:tcW w:w="2597" w:type="dxa"/>
            <w:vAlign w:val="center"/>
          </w:tcPr>
          <w:p>
            <w:pPr>
              <w:widowControl/>
              <w:snapToGrid w:val="0"/>
              <w:textAlignment w:val="center"/>
              <w:rPr>
                <w:rFonts w:ascii="黑体" w:hAnsi="宋体" w:eastAsia="黑体" w:cs="黑体"/>
                <w:color w:val="000000"/>
                <w:sz w:val="24"/>
              </w:rPr>
            </w:pPr>
            <w:r>
              <w:rPr>
                <w:rFonts w:hint="eastAsia" w:ascii="仿宋" w:hAnsi="仿宋" w:eastAsia="仿宋" w:cs="仿宋"/>
                <w:kern w:val="0"/>
                <w:sz w:val="16"/>
                <w:szCs w:val="16"/>
                <w:shd w:val="clear" w:color="auto" w:fill="FFFFFF"/>
              </w:rPr>
              <w:t>初次违反药品、医疗器械、化妆品监督管理规定</w:t>
            </w:r>
          </w:p>
        </w:tc>
        <w:tc>
          <w:tcPr>
            <w:tcW w:w="3502" w:type="dxa"/>
            <w:tcBorders>
              <w:top w:val="single" w:color="000000" w:sz="4" w:space="0"/>
              <w:left w:val="single" w:color="000000" w:sz="4" w:space="0"/>
              <w:bottom w:val="single" w:color="000000" w:sz="4" w:space="0"/>
              <w:right w:val="single" w:color="000000" w:sz="4" w:space="0"/>
            </w:tcBorders>
            <w:vAlign w:val="center"/>
          </w:tcPr>
          <w:p>
            <w:pPr>
              <w:widowControl/>
              <w:snapToGrid w:val="0"/>
              <w:textAlignment w:val="center"/>
              <w:rPr>
                <w:rFonts w:ascii="黑体" w:hAnsi="宋体" w:eastAsia="黑体" w:cs="黑体"/>
                <w:color w:val="000000"/>
                <w:sz w:val="24"/>
              </w:rPr>
            </w:pPr>
            <w:r>
              <w:rPr>
                <w:rFonts w:hint="eastAsia" w:ascii="仿宋" w:hAnsi="仿宋" w:eastAsia="仿宋" w:cs="仿宋"/>
                <w:kern w:val="0"/>
                <w:sz w:val="16"/>
                <w:szCs w:val="16"/>
                <w:shd w:val="clear" w:color="auto" w:fill="FFFFFF"/>
              </w:rPr>
              <w:t>当事人已自行改正或者在药品监管部门责令改正的期限内改正，未造成危害后果的，不予处罚</w:t>
            </w:r>
          </w:p>
        </w:tc>
        <w:tc>
          <w:tcPr>
            <w:tcW w:w="4472" w:type="dxa"/>
            <w:tcBorders>
              <w:top w:val="single" w:color="000000" w:sz="4" w:space="0"/>
              <w:left w:val="single" w:color="000000" w:sz="4" w:space="0"/>
              <w:bottom w:val="single" w:color="000000" w:sz="4" w:space="0"/>
              <w:right w:val="single" w:color="000000" w:sz="4" w:space="0"/>
            </w:tcBorders>
            <w:vAlign w:val="center"/>
          </w:tcPr>
          <w:p>
            <w:pPr>
              <w:pStyle w:val="6"/>
              <w:widowControl/>
              <w:adjustRightInd w:val="0"/>
              <w:snapToGrid w:val="0"/>
              <w:spacing w:beforeAutospacing="0" w:afterAutospacing="0" w:line="220" w:lineRule="exact"/>
              <w:jc w:val="both"/>
              <w:rPr>
                <w:rFonts w:ascii="仿宋" w:hAnsi="仿宋" w:eastAsia="仿宋" w:cs="仿宋"/>
                <w:sz w:val="16"/>
                <w:szCs w:val="16"/>
                <w:shd w:val="clear" w:color="auto" w:fill="FFFFFF"/>
              </w:rPr>
            </w:pPr>
            <w:r>
              <w:rPr>
                <w:rFonts w:hint="eastAsia" w:ascii="仿宋" w:hAnsi="仿宋" w:eastAsia="仿宋" w:cs="仿宋"/>
                <w:sz w:val="16"/>
                <w:szCs w:val="16"/>
                <w:shd w:val="clear" w:color="auto" w:fill="FFFFFF"/>
              </w:rPr>
              <w:t>违反《医疗器械监督管理条例》第二十四条第二款，医疗器械生产企业未按要求提交质量管理体系运行自查报告的；</w:t>
            </w:r>
          </w:p>
          <w:p>
            <w:pPr>
              <w:widowControl/>
              <w:spacing w:line="220" w:lineRule="exact"/>
              <w:rPr>
                <w:rFonts w:ascii="黑体" w:hAnsi="宋体" w:eastAsia="黑体" w:cs="黑体"/>
                <w:color w:val="000000"/>
                <w:sz w:val="24"/>
              </w:rPr>
            </w:pP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spacing w:line="220" w:lineRule="exact"/>
              <w:textAlignment w:val="center"/>
              <w:rPr>
                <w:rFonts w:hint="eastAsia" w:ascii="仿宋" w:hAnsi="仿宋" w:eastAsia="仿宋" w:cs="仿宋"/>
                <w:color w:val="000000"/>
                <w:kern w:val="0"/>
                <w:sz w:val="16"/>
                <w:szCs w:val="16"/>
                <w:lang w:eastAsia="zh-CN"/>
              </w:rPr>
            </w:pPr>
            <w:r>
              <w:rPr>
                <w:rFonts w:hint="eastAsia" w:ascii="仿宋" w:hAnsi="仿宋" w:eastAsia="仿宋" w:cs="仿宋"/>
                <w:color w:val="000000"/>
                <w:kern w:val="0"/>
                <w:sz w:val="16"/>
                <w:szCs w:val="16"/>
                <w:lang w:val="en-US" w:eastAsia="zh-CN"/>
              </w:rPr>
              <w:t>5</w:t>
            </w:r>
          </w:p>
        </w:tc>
        <w:tc>
          <w:tcPr>
            <w:tcW w:w="774" w:type="dxa"/>
            <w:vAlign w:val="center"/>
          </w:tcPr>
          <w:p>
            <w:pPr>
              <w:widowControl/>
              <w:spacing w:line="220" w:lineRule="exact"/>
              <w:textAlignment w:val="center"/>
              <w:rPr>
                <w:rFonts w:ascii="仿宋" w:hAnsi="仿宋" w:eastAsia="仿宋" w:cs="仿宋"/>
                <w:sz w:val="16"/>
                <w:szCs w:val="16"/>
              </w:rPr>
            </w:pPr>
            <w:r>
              <w:rPr>
                <w:rFonts w:hint="eastAsia" w:ascii="仿宋" w:hAnsi="仿宋" w:eastAsia="仿宋" w:cs="仿宋"/>
                <w:sz w:val="16"/>
                <w:szCs w:val="16"/>
              </w:rPr>
              <w:t>药品监管领域</w:t>
            </w:r>
          </w:p>
        </w:tc>
        <w:tc>
          <w:tcPr>
            <w:tcW w:w="2597" w:type="dxa"/>
            <w:vAlign w:val="center"/>
          </w:tcPr>
          <w:p>
            <w:pPr>
              <w:widowControl/>
              <w:snapToGrid w:val="0"/>
              <w:textAlignment w:val="center"/>
              <w:rPr>
                <w:rFonts w:ascii="黑体" w:hAnsi="宋体" w:eastAsia="黑体" w:cs="黑体"/>
                <w:color w:val="000000"/>
                <w:sz w:val="24"/>
              </w:rPr>
            </w:pPr>
            <w:r>
              <w:rPr>
                <w:rFonts w:hint="eastAsia" w:ascii="仿宋" w:hAnsi="仿宋" w:eastAsia="仿宋" w:cs="仿宋"/>
                <w:kern w:val="0"/>
                <w:sz w:val="16"/>
                <w:szCs w:val="16"/>
                <w:shd w:val="clear" w:color="auto" w:fill="FFFFFF"/>
              </w:rPr>
              <w:t>初次违反药品、医疗器械、化妆品监督管理规定</w:t>
            </w:r>
          </w:p>
        </w:tc>
        <w:tc>
          <w:tcPr>
            <w:tcW w:w="3502" w:type="dxa"/>
            <w:tcBorders>
              <w:top w:val="single" w:color="000000" w:sz="4" w:space="0"/>
              <w:left w:val="single" w:color="000000" w:sz="4" w:space="0"/>
              <w:bottom w:val="single" w:color="000000" w:sz="4" w:space="0"/>
              <w:right w:val="single" w:color="000000" w:sz="4" w:space="0"/>
            </w:tcBorders>
            <w:vAlign w:val="center"/>
          </w:tcPr>
          <w:p>
            <w:pPr>
              <w:widowControl/>
              <w:snapToGrid w:val="0"/>
              <w:textAlignment w:val="center"/>
              <w:rPr>
                <w:rFonts w:ascii="黑体" w:hAnsi="宋体" w:eastAsia="黑体" w:cs="黑体"/>
                <w:color w:val="000000"/>
                <w:sz w:val="24"/>
              </w:rPr>
            </w:pPr>
            <w:r>
              <w:rPr>
                <w:rFonts w:hint="eastAsia" w:ascii="仿宋" w:hAnsi="仿宋" w:eastAsia="仿宋" w:cs="仿宋"/>
                <w:kern w:val="0"/>
                <w:sz w:val="16"/>
                <w:szCs w:val="16"/>
                <w:shd w:val="clear" w:color="auto" w:fill="FFFFFF"/>
              </w:rPr>
              <w:t>当事人已自行改正或者在药品监管部门责令改正的期限内改正，未造成危害后果的，不予处罚</w:t>
            </w:r>
          </w:p>
        </w:tc>
        <w:tc>
          <w:tcPr>
            <w:tcW w:w="4472" w:type="dxa"/>
            <w:tcBorders>
              <w:top w:val="single" w:color="000000" w:sz="4" w:space="0"/>
              <w:left w:val="single" w:color="000000" w:sz="4" w:space="0"/>
              <w:bottom w:val="single" w:color="000000" w:sz="4" w:space="0"/>
              <w:right w:val="single" w:color="000000" w:sz="4" w:space="0"/>
            </w:tcBorders>
            <w:vAlign w:val="center"/>
          </w:tcPr>
          <w:p>
            <w:pPr>
              <w:pStyle w:val="6"/>
              <w:widowControl/>
              <w:adjustRightInd w:val="0"/>
              <w:snapToGrid w:val="0"/>
              <w:spacing w:beforeAutospacing="0" w:afterAutospacing="0" w:line="220" w:lineRule="exact"/>
              <w:jc w:val="both"/>
              <w:rPr>
                <w:rFonts w:ascii="仿宋" w:hAnsi="仿宋" w:eastAsia="仿宋" w:cs="仿宋"/>
                <w:sz w:val="16"/>
                <w:szCs w:val="16"/>
                <w:shd w:val="clear" w:color="auto" w:fill="FFFFFF"/>
              </w:rPr>
            </w:pPr>
            <w:r>
              <w:rPr>
                <w:rFonts w:hint="eastAsia" w:ascii="仿宋" w:hAnsi="仿宋" w:eastAsia="仿宋" w:cs="仿宋"/>
                <w:sz w:val="16"/>
                <w:szCs w:val="16"/>
                <w:shd w:val="clear" w:color="auto" w:fill="FFFFFF"/>
              </w:rPr>
              <w:t>违反《医疗器械监督管理条例》第三十二条第一款，医疗器械经营、使用单位购销医疗器械，没有及时登记查验或者销售记录，但票据齐全、不影响追溯的；</w:t>
            </w:r>
          </w:p>
          <w:p>
            <w:pPr>
              <w:widowControl/>
              <w:spacing w:line="220" w:lineRule="exact"/>
              <w:rPr>
                <w:rFonts w:ascii="黑体" w:hAnsi="宋体" w:eastAsia="黑体" w:cs="黑体"/>
                <w:color w:val="000000"/>
                <w:sz w:val="24"/>
              </w:rPr>
            </w:pP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spacing w:line="220" w:lineRule="exact"/>
              <w:textAlignment w:val="center"/>
              <w:rPr>
                <w:rFonts w:hint="eastAsia" w:ascii="仿宋" w:hAnsi="仿宋" w:eastAsia="仿宋" w:cs="仿宋"/>
                <w:color w:val="000000"/>
                <w:kern w:val="0"/>
                <w:sz w:val="16"/>
                <w:szCs w:val="16"/>
                <w:lang w:eastAsia="zh-CN"/>
              </w:rPr>
            </w:pPr>
            <w:r>
              <w:rPr>
                <w:rFonts w:hint="eastAsia" w:ascii="仿宋" w:hAnsi="仿宋" w:eastAsia="仿宋" w:cs="仿宋"/>
                <w:color w:val="000000"/>
                <w:kern w:val="0"/>
                <w:sz w:val="16"/>
                <w:szCs w:val="16"/>
                <w:lang w:val="en-US" w:eastAsia="zh-CN"/>
              </w:rPr>
              <w:t>6</w:t>
            </w:r>
          </w:p>
        </w:tc>
        <w:tc>
          <w:tcPr>
            <w:tcW w:w="774" w:type="dxa"/>
            <w:vAlign w:val="center"/>
          </w:tcPr>
          <w:p>
            <w:pPr>
              <w:widowControl/>
              <w:spacing w:line="220" w:lineRule="exact"/>
              <w:textAlignment w:val="center"/>
              <w:rPr>
                <w:rFonts w:ascii="仿宋" w:hAnsi="仿宋" w:eastAsia="仿宋" w:cs="仿宋"/>
                <w:sz w:val="16"/>
                <w:szCs w:val="16"/>
              </w:rPr>
            </w:pPr>
            <w:r>
              <w:rPr>
                <w:rFonts w:hint="eastAsia" w:ascii="仿宋" w:hAnsi="仿宋" w:eastAsia="仿宋" w:cs="仿宋"/>
                <w:sz w:val="16"/>
                <w:szCs w:val="16"/>
              </w:rPr>
              <w:t>药品监管领域</w:t>
            </w:r>
          </w:p>
        </w:tc>
        <w:tc>
          <w:tcPr>
            <w:tcW w:w="2597" w:type="dxa"/>
            <w:vAlign w:val="center"/>
          </w:tcPr>
          <w:p>
            <w:pPr>
              <w:widowControl/>
              <w:snapToGrid w:val="0"/>
              <w:textAlignment w:val="center"/>
              <w:rPr>
                <w:rFonts w:ascii="黑体" w:hAnsi="宋体" w:eastAsia="黑体" w:cs="黑体"/>
                <w:color w:val="000000"/>
                <w:sz w:val="24"/>
              </w:rPr>
            </w:pPr>
            <w:r>
              <w:rPr>
                <w:rFonts w:hint="eastAsia" w:ascii="仿宋" w:hAnsi="仿宋" w:eastAsia="仿宋" w:cs="仿宋"/>
                <w:kern w:val="0"/>
                <w:sz w:val="16"/>
                <w:szCs w:val="16"/>
                <w:shd w:val="clear" w:color="auto" w:fill="FFFFFF"/>
              </w:rPr>
              <w:t>初次违反药品、医疗器械、化妆品监督管理规定</w:t>
            </w:r>
          </w:p>
        </w:tc>
        <w:tc>
          <w:tcPr>
            <w:tcW w:w="3502" w:type="dxa"/>
            <w:tcBorders>
              <w:top w:val="single" w:color="000000" w:sz="4" w:space="0"/>
              <w:left w:val="single" w:color="000000" w:sz="4" w:space="0"/>
              <w:bottom w:val="single" w:color="000000" w:sz="4" w:space="0"/>
              <w:right w:val="single" w:color="000000" w:sz="4" w:space="0"/>
            </w:tcBorders>
            <w:vAlign w:val="center"/>
          </w:tcPr>
          <w:p>
            <w:pPr>
              <w:widowControl/>
              <w:snapToGrid w:val="0"/>
              <w:textAlignment w:val="center"/>
              <w:rPr>
                <w:rFonts w:ascii="黑体" w:hAnsi="宋体" w:eastAsia="黑体" w:cs="黑体"/>
                <w:color w:val="000000"/>
                <w:sz w:val="24"/>
              </w:rPr>
            </w:pPr>
            <w:r>
              <w:rPr>
                <w:rFonts w:hint="eastAsia" w:ascii="仿宋" w:hAnsi="仿宋" w:eastAsia="仿宋" w:cs="仿宋"/>
                <w:kern w:val="0"/>
                <w:sz w:val="16"/>
                <w:szCs w:val="16"/>
                <w:shd w:val="clear" w:color="auto" w:fill="FFFFFF"/>
              </w:rPr>
              <w:t>当事人已自行改正或者在药品监管部门责令改正的期限内改正，未造成危害后果的，不予处罚</w:t>
            </w:r>
          </w:p>
        </w:tc>
        <w:tc>
          <w:tcPr>
            <w:tcW w:w="4472" w:type="dxa"/>
            <w:tcBorders>
              <w:top w:val="single" w:color="000000" w:sz="4" w:space="0"/>
              <w:left w:val="single" w:color="000000" w:sz="4" w:space="0"/>
              <w:bottom w:val="single" w:color="000000" w:sz="4" w:space="0"/>
              <w:right w:val="single" w:color="000000" w:sz="4" w:space="0"/>
            </w:tcBorders>
            <w:vAlign w:val="center"/>
          </w:tcPr>
          <w:p>
            <w:pPr>
              <w:pStyle w:val="6"/>
              <w:widowControl/>
              <w:adjustRightInd w:val="0"/>
              <w:snapToGrid w:val="0"/>
              <w:spacing w:beforeAutospacing="0" w:afterAutospacing="0" w:line="220" w:lineRule="exact"/>
              <w:jc w:val="both"/>
              <w:rPr>
                <w:rFonts w:ascii="仿宋" w:hAnsi="仿宋" w:eastAsia="仿宋" w:cs="仿宋"/>
                <w:sz w:val="16"/>
                <w:szCs w:val="16"/>
                <w:shd w:val="clear" w:color="auto" w:fill="FFFFFF"/>
              </w:rPr>
            </w:pPr>
            <w:r>
              <w:rPr>
                <w:rFonts w:hint="eastAsia" w:ascii="仿宋" w:hAnsi="仿宋" w:eastAsia="仿宋" w:cs="仿宋"/>
                <w:sz w:val="16"/>
                <w:szCs w:val="16"/>
                <w:shd w:val="clear" w:color="auto" w:fill="FFFFFF"/>
              </w:rPr>
              <w:t>违反《化妆品监督管理条例》规定，生产经营的化妆品的标签存在瑕疵但不影响质量安全且不会对消费者造成误导的。</w:t>
            </w:r>
          </w:p>
          <w:p>
            <w:pPr>
              <w:widowControl/>
              <w:spacing w:line="220" w:lineRule="exact"/>
              <w:rPr>
                <w:rFonts w:ascii="黑体" w:hAnsi="宋体" w:eastAsia="黑体" w:cs="黑体"/>
                <w:color w:val="000000"/>
                <w:sz w:val="24"/>
              </w:rPr>
            </w:pP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spacing w:line="220" w:lineRule="exact"/>
              <w:textAlignment w:val="center"/>
              <w:rPr>
                <w:rFonts w:hint="eastAsia" w:ascii="仿宋" w:hAnsi="仿宋" w:eastAsia="仿宋" w:cs="仿宋"/>
                <w:color w:val="000000"/>
                <w:kern w:val="0"/>
                <w:sz w:val="16"/>
                <w:szCs w:val="16"/>
                <w:lang w:eastAsia="zh-CN"/>
              </w:rPr>
            </w:pPr>
            <w:r>
              <w:rPr>
                <w:rFonts w:hint="eastAsia" w:ascii="仿宋" w:hAnsi="仿宋" w:eastAsia="仿宋" w:cs="仿宋"/>
                <w:color w:val="000000"/>
                <w:kern w:val="0"/>
                <w:sz w:val="16"/>
                <w:szCs w:val="16"/>
                <w:lang w:val="en-US" w:eastAsia="zh-CN"/>
              </w:rPr>
              <w:t>7</w:t>
            </w:r>
          </w:p>
        </w:tc>
        <w:tc>
          <w:tcPr>
            <w:tcW w:w="774" w:type="dxa"/>
            <w:vAlign w:val="center"/>
          </w:tcPr>
          <w:p>
            <w:pPr>
              <w:widowControl/>
              <w:spacing w:line="220" w:lineRule="exact"/>
              <w:textAlignment w:val="center"/>
              <w:rPr>
                <w:rFonts w:ascii="仿宋" w:hAnsi="仿宋" w:eastAsia="仿宋" w:cs="仿宋"/>
                <w:sz w:val="16"/>
                <w:szCs w:val="16"/>
              </w:rPr>
            </w:pPr>
            <w:r>
              <w:rPr>
                <w:rFonts w:hint="eastAsia" w:ascii="仿宋" w:hAnsi="仿宋" w:eastAsia="仿宋" w:cs="仿宋"/>
                <w:color w:val="000000"/>
                <w:kern w:val="0"/>
                <w:sz w:val="16"/>
                <w:szCs w:val="16"/>
              </w:rPr>
              <w:t>市场监管领域</w:t>
            </w:r>
          </w:p>
        </w:tc>
        <w:tc>
          <w:tcPr>
            <w:tcW w:w="2597" w:type="dxa"/>
            <w:vAlign w:val="center"/>
          </w:tcPr>
          <w:p>
            <w:pPr>
              <w:widowControl/>
              <w:snapToGrid w:val="0"/>
              <w:spacing w:line="220" w:lineRule="exact"/>
              <w:textAlignment w:val="center"/>
              <w:rPr>
                <w:rFonts w:ascii="黑体" w:hAnsi="宋体" w:eastAsia="黑体" w:cs="黑体"/>
                <w:color w:val="000000"/>
                <w:sz w:val="24"/>
              </w:rPr>
            </w:pPr>
            <w:r>
              <w:rPr>
                <w:rFonts w:hint="eastAsia" w:ascii="仿宋" w:hAnsi="仿宋" w:eastAsia="仿宋" w:cs="仿宋"/>
                <w:sz w:val="16"/>
                <w:szCs w:val="16"/>
              </w:rPr>
              <w:t>通过大众传播媒介发布的广告未标明“广告”字样的</w:t>
            </w:r>
          </w:p>
        </w:tc>
        <w:tc>
          <w:tcPr>
            <w:tcW w:w="350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20" w:lineRule="exact"/>
              <w:textAlignment w:val="center"/>
              <w:rPr>
                <w:rFonts w:ascii="黑体" w:hAnsi="宋体" w:eastAsia="黑体" w:cs="黑体"/>
                <w:color w:val="000000"/>
                <w:sz w:val="24"/>
              </w:rPr>
            </w:pPr>
            <w:r>
              <w:rPr>
                <w:rFonts w:hint="eastAsia" w:ascii="仿宋" w:hAnsi="仿宋" w:eastAsia="仿宋" w:cs="仿宋"/>
                <w:sz w:val="16"/>
                <w:szCs w:val="16"/>
              </w:rPr>
              <w:t>通过大众传播媒介发布的广告首次未标明“广告”字样，但能使消费者辨明其为广告的。且情节轻微、及时纠正、没有造成危害后果的违法行为。</w:t>
            </w:r>
          </w:p>
        </w:tc>
        <w:tc>
          <w:tcPr>
            <w:tcW w:w="447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20" w:lineRule="exact"/>
              <w:textAlignment w:val="center"/>
              <w:rPr>
                <w:rFonts w:ascii="黑体" w:hAnsi="宋体" w:eastAsia="黑体" w:cs="黑体"/>
                <w:color w:val="000000"/>
                <w:sz w:val="24"/>
              </w:rPr>
            </w:pPr>
            <w:r>
              <w:rPr>
                <w:rFonts w:hint="eastAsia" w:ascii="仿宋" w:hAnsi="仿宋" w:eastAsia="仿宋" w:cs="仿宋"/>
                <w:sz w:val="16"/>
                <w:szCs w:val="16"/>
              </w:rPr>
              <w:t>依据《广告法》第十四条二款“大众传播媒介不得以新闻报道形式变相发布广告。通过大众传播媒介发布的广告应当显著标明“广告”，与其他非广告信息相区别，不得使消费者产生误解。”的规定；依据《行政处罚法》</w:t>
            </w:r>
            <w:r>
              <w:rPr>
                <w:rFonts w:hint="eastAsia" w:ascii="仿宋" w:hAnsi="仿宋" w:eastAsia="仿宋" w:cs="仿宋"/>
                <w:w w:val="99"/>
                <w:sz w:val="16"/>
                <w:szCs w:val="16"/>
              </w:rPr>
              <w:t>三十二、</w:t>
            </w:r>
            <w:r>
              <w:rPr>
                <w:rFonts w:hint="eastAsia" w:ascii="仿宋" w:hAnsi="仿宋" w:eastAsia="仿宋" w:cs="仿宋"/>
                <w:sz w:val="16"/>
                <w:szCs w:val="16"/>
              </w:rPr>
              <w:t>三十三条规定，不予行政处罚，予以责令改正。</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spacing w:line="220" w:lineRule="exact"/>
              <w:textAlignment w:val="center"/>
              <w:rPr>
                <w:rFonts w:hint="eastAsia" w:ascii="黑体" w:hAnsi="宋体" w:eastAsia="黑体" w:cs="黑体"/>
                <w:color w:val="000000"/>
                <w:sz w:val="24"/>
                <w:lang w:eastAsia="zh-CN"/>
              </w:rPr>
            </w:pPr>
            <w:r>
              <w:rPr>
                <w:rFonts w:hint="eastAsia" w:ascii="仿宋" w:hAnsi="仿宋" w:eastAsia="仿宋" w:cs="仿宋"/>
                <w:color w:val="000000"/>
                <w:kern w:val="0"/>
                <w:sz w:val="16"/>
                <w:szCs w:val="16"/>
                <w:lang w:val="en-US" w:eastAsia="zh-CN"/>
              </w:rPr>
              <w:t>8</w:t>
            </w:r>
          </w:p>
        </w:tc>
        <w:tc>
          <w:tcPr>
            <w:tcW w:w="774" w:type="dxa"/>
            <w:vAlign w:val="center"/>
          </w:tcPr>
          <w:p>
            <w:pPr>
              <w:widowControl/>
              <w:spacing w:line="220" w:lineRule="exact"/>
              <w:textAlignment w:val="center"/>
              <w:rPr>
                <w:rFonts w:ascii="黑体" w:hAnsi="宋体" w:eastAsia="黑体" w:cs="黑体"/>
                <w:color w:val="000000"/>
                <w:sz w:val="24"/>
              </w:rPr>
            </w:pPr>
            <w:r>
              <w:rPr>
                <w:rFonts w:hint="eastAsia" w:ascii="仿宋" w:hAnsi="仿宋" w:eastAsia="仿宋" w:cs="仿宋"/>
                <w:color w:val="000000"/>
                <w:kern w:val="0"/>
                <w:sz w:val="16"/>
                <w:szCs w:val="16"/>
              </w:rPr>
              <w:t>市场监管领域</w:t>
            </w:r>
          </w:p>
        </w:tc>
        <w:tc>
          <w:tcPr>
            <w:tcW w:w="2597" w:type="dxa"/>
            <w:vAlign w:val="center"/>
          </w:tcPr>
          <w:p>
            <w:pPr>
              <w:widowControl/>
              <w:snapToGrid w:val="0"/>
              <w:spacing w:line="220" w:lineRule="exact"/>
              <w:textAlignment w:val="center"/>
              <w:rPr>
                <w:rFonts w:ascii="黑体" w:hAnsi="宋体" w:eastAsia="黑体" w:cs="黑体"/>
                <w:color w:val="000000"/>
                <w:sz w:val="24"/>
              </w:rPr>
            </w:pPr>
            <w:r>
              <w:rPr>
                <w:rFonts w:hint="eastAsia" w:ascii="仿宋" w:hAnsi="仿宋" w:eastAsia="仿宋" w:cs="仿宋"/>
                <w:sz w:val="16"/>
                <w:szCs w:val="16"/>
              </w:rPr>
              <w:t>广告中涉及专利产品或专利方法未标明专利号和专利种类的</w:t>
            </w:r>
          </w:p>
        </w:tc>
        <w:tc>
          <w:tcPr>
            <w:tcW w:w="350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20" w:lineRule="exact"/>
              <w:textAlignment w:val="center"/>
              <w:rPr>
                <w:rFonts w:ascii="黑体" w:hAnsi="宋体" w:eastAsia="黑体" w:cs="黑体"/>
                <w:color w:val="000000"/>
                <w:sz w:val="24"/>
              </w:rPr>
            </w:pPr>
            <w:r>
              <w:rPr>
                <w:rFonts w:hint="eastAsia" w:ascii="仿宋" w:hAnsi="仿宋" w:eastAsia="仿宋" w:cs="仿宋"/>
                <w:sz w:val="16"/>
                <w:szCs w:val="16"/>
              </w:rPr>
              <w:t>广告中涉及专利产品或专利方法首次未标明专利号和专利种类，但取得合法有效专利证明的。且情节轻微、及时纠正、没有造成危害后果的违法行为。</w:t>
            </w:r>
          </w:p>
        </w:tc>
        <w:tc>
          <w:tcPr>
            <w:tcW w:w="447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20" w:lineRule="exact"/>
              <w:textAlignment w:val="center"/>
              <w:rPr>
                <w:rFonts w:ascii="黑体" w:hAnsi="宋体" w:eastAsia="黑体" w:cs="黑体"/>
                <w:color w:val="000000"/>
                <w:sz w:val="24"/>
              </w:rPr>
            </w:pPr>
            <w:r>
              <w:rPr>
                <w:rFonts w:hint="eastAsia" w:ascii="仿宋" w:hAnsi="仿宋" w:eastAsia="仿宋" w:cs="仿宋"/>
                <w:sz w:val="16"/>
                <w:szCs w:val="16"/>
              </w:rPr>
              <w:t>依据《广告法》第十二条“广告中涉及专利产品或者专利方法的，应当标明专利号和专利种类。”规定；依据《行政处罚法》</w:t>
            </w:r>
            <w:r>
              <w:rPr>
                <w:rFonts w:hint="eastAsia" w:ascii="仿宋" w:hAnsi="仿宋" w:eastAsia="仿宋" w:cs="仿宋"/>
                <w:w w:val="99"/>
                <w:sz w:val="16"/>
                <w:szCs w:val="16"/>
              </w:rPr>
              <w:t>三十二、</w:t>
            </w:r>
            <w:r>
              <w:rPr>
                <w:rFonts w:hint="eastAsia" w:ascii="仿宋" w:hAnsi="仿宋" w:eastAsia="仿宋" w:cs="仿宋"/>
                <w:sz w:val="16"/>
                <w:szCs w:val="16"/>
              </w:rPr>
              <w:t>第三十三条规定，不予行政处罚，予以责令改正。</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03" w:type="dxa"/>
            <w:vAlign w:val="center"/>
          </w:tcPr>
          <w:p>
            <w:pPr>
              <w:widowControl/>
              <w:spacing w:line="220" w:lineRule="exact"/>
              <w:textAlignment w:val="center"/>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16"/>
                <w:szCs w:val="16"/>
                <w:lang w:val="en-US" w:eastAsia="zh-CN"/>
              </w:rPr>
              <w:t>9</w:t>
            </w:r>
          </w:p>
        </w:tc>
        <w:tc>
          <w:tcPr>
            <w:tcW w:w="774" w:type="dxa"/>
            <w:vAlign w:val="center"/>
          </w:tcPr>
          <w:p>
            <w:pPr>
              <w:widowControl/>
              <w:spacing w:line="220" w:lineRule="exact"/>
              <w:textAlignment w:val="center"/>
              <w:rPr>
                <w:rFonts w:ascii="黑体" w:hAnsi="黑体" w:eastAsia="黑体" w:cs="仿宋"/>
              </w:rPr>
            </w:pPr>
            <w:r>
              <w:rPr>
                <w:rFonts w:hint="eastAsia" w:ascii="仿宋" w:hAnsi="仿宋" w:eastAsia="仿宋" w:cs="仿宋"/>
                <w:color w:val="000000"/>
                <w:kern w:val="0"/>
                <w:sz w:val="16"/>
                <w:szCs w:val="16"/>
              </w:rPr>
              <w:t>市场监管领域</w:t>
            </w:r>
          </w:p>
        </w:tc>
        <w:tc>
          <w:tcPr>
            <w:tcW w:w="2597" w:type="dxa"/>
            <w:vAlign w:val="center"/>
          </w:tcPr>
          <w:p>
            <w:pPr>
              <w:widowControl/>
              <w:snapToGrid w:val="0"/>
              <w:spacing w:line="220" w:lineRule="exact"/>
              <w:textAlignment w:val="center"/>
              <w:rPr>
                <w:rFonts w:ascii="仿宋" w:hAnsi="仿宋" w:eastAsia="仿宋" w:cs="仿宋"/>
                <w:color w:val="000000"/>
                <w:kern w:val="0"/>
                <w:sz w:val="28"/>
                <w:szCs w:val="28"/>
              </w:rPr>
            </w:pPr>
            <w:r>
              <w:rPr>
                <w:rFonts w:hint="eastAsia" w:ascii="仿宋" w:hAnsi="仿宋" w:eastAsia="仿宋" w:cs="仿宋"/>
                <w:sz w:val="16"/>
                <w:szCs w:val="16"/>
              </w:rPr>
              <w:t>医疗、药品、医疗器械、保健食品、农药、兽药、房地产预售或者销售等广告未标注广告审查批准文号或许可证书号的</w:t>
            </w:r>
          </w:p>
        </w:tc>
        <w:tc>
          <w:tcPr>
            <w:tcW w:w="350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20" w:lineRule="exact"/>
              <w:textAlignment w:val="center"/>
              <w:rPr>
                <w:rFonts w:ascii="仿宋" w:hAnsi="仿宋" w:eastAsia="仿宋" w:cs="仿宋"/>
                <w:color w:val="000000"/>
                <w:kern w:val="0"/>
                <w:sz w:val="28"/>
                <w:szCs w:val="28"/>
              </w:rPr>
            </w:pPr>
            <w:r>
              <w:rPr>
                <w:rFonts w:hint="eastAsia" w:ascii="仿宋" w:hAnsi="仿宋" w:eastAsia="仿宋" w:cs="仿宋"/>
                <w:sz w:val="16"/>
                <w:szCs w:val="16"/>
              </w:rPr>
              <w:t>广告主已取得审查批准文号或许可证书号但在广告首次发布时未标注，且情节轻微、及时纠正、没有造成危害性后果的。</w:t>
            </w:r>
          </w:p>
        </w:tc>
        <w:tc>
          <w:tcPr>
            <w:tcW w:w="447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20" w:lineRule="exact"/>
              <w:textAlignment w:val="center"/>
              <w:rPr>
                <w:rFonts w:ascii="宋体" w:cs="宋体"/>
                <w:color w:val="000000"/>
                <w:kern w:val="0"/>
                <w:sz w:val="24"/>
              </w:rPr>
            </w:pPr>
            <w:r>
              <w:rPr>
                <w:rFonts w:hint="eastAsia" w:ascii="仿宋" w:hAnsi="仿宋" w:eastAsia="仿宋" w:cs="仿宋"/>
                <w:sz w:val="16"/>
                <w:szCs w:val="16"/>
              </w:rPr>
              <w:t>依据《医疗广告管理办法》第十四条“发布医疗广告应当标注医疗机构第一名称和《医疗广告审查证明》文号”的规定；《药品、医疗器械、保健食品、特殊医学用途配方食品广告审查管理暂行办法》第九条“药品、医疗器械、保健食品和特殊医学用途配方食品广告应当显著标明广告批准文号。”的规定；《农药广告审查发布标准》第十一条“农药广告的批准文号应当列为广告内容同时发布。”规定；《兽药广告审查发布标准》第十条“兽药广告的批准文号应当列为广告内容同时发布。”规定；《房地产广告发布规定》第七条“房地产预售、销售广告，必须载明以下事项：（三）项预售或者销售许可证书号。”的规定；依据《行政处罚法》第</w:t>
            </w:r>
            <w:r>
              <w:rPr>
                <w:rFonts w:hint="eastAsia" w:ascii="仿宋" w:hAnsi="仿宋" w:eastAsia="仿宋" w:cs="仿宋"/>
                <w:w w:val="99"/>
                <w:sz w:val="16"/>
                <w:szCs w:val="16"/>
              </w:rPr>
              <w:t>三十二、</w:t>
            </w:r>
            <w:r>
              <w:rPr>
                <w:rFonts w:hint="eastAsia" w:ascii="仿宋" w:hAnsi="仿宋" w:eastAsia="仿宋" w:cs="仿宋"/>
                <w:sz w:val="16"/>
                <w:szCs w:val="16"/>
              </w:rPr>
              <w:t>三十三条规定，不予行政处罚，予以责令改正。</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宋体" w:cs="宋体"/>
                <w:color w:val="000000"/>
                <w:kern w:val="0"/>
                <w:sz w:val="24"/>
              </w:rPr>
            </w:pP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宋体" w:cs="宋体"/>
                <w:color w:val="000000"/>
                <w:kern w:val="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03" w:type="dxa"/>
            <w:vAlign w:val="center"/>
          </w:tcPr>
          <w:p>
            <w:pPr>
              <w:widowControl/>
              <w:spacing w:line="220" w:lineRule="exact"/>
              <w:textAlignment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16"/>
                <w:szCs w:val="16"/>
                <w:lang w:val="en-US" w:eastAsia="zh-CN"/>
              </w:rPr>
              <w:t>10</w:t>
            </w:r>
          </w:p>
        </w:tc>
        <w:tc>
          <w:tcPr>
            <w:tcW w:w="774" w:type="dxa"/>
            <w:vAlign w:val="center"/>
          </w:tcPr>
          <w:p>
            <w:pPr>
              <w:widowControl/>
              <w:spacing w:line="220" w:lineRule="exact"/>
              <w:textAlignment w:val="center"/>
              <w:rPr>
                <w:rFonts w:ascii="黑体" w:hAnsi="黑体" w:eastAsia="黑体" w:cs="仿宋"/>
              </w:rPr>
            </w:pPr>
            <w:r>
              <w:rPr>
                <w:rFonts w:hint="eastAsia" w:ascii="仿宋" w:hAnsi="仿宋" w:eastAsia="仿宋" w:cs="仿宋"/>
                <w:color w:val="000000"/>
                <w:kern w:val="0"/>
                <w:sz w:val="16"/>
                <w:szCs w:val="16"/>
              </w:rPr>
              <w:t>市场监管领域</w:t>
            </w:r>
          </w:p>
        </w:tc>
        <w:tc>
          <w:tcPr>
            <w:tcW w:w="2597" w:type="dxa"/>
            <w:vAlign w:val="center"/>
          </w:tcPr>
          <w:p>
            <w:pPr>
              <w:spacing w:line="220" w:lineRule="exact"/>
              <w:rPr>
                <w:rFonts w:ascii="仿宋" w:hAnsi="仿宋" w:eastAsia="仿宋" w:cs="仿宋"/>
                <w:sz w:val="16"/>
                <w:szCs w:val="16"/>
              </w:rPr>
            </w:pPr>
            <w:r>
              <w:rPr>
                <w:rFonts w:hint="eastAsia" w:ascii="仿宋" w:hAnsi="仿宋" w:eastAsia="仿宋" w:cs="仿宋"/>
                <w:sz w:val="16"/>
                <w:szCs w:val="16"/>
              </w:rPr>
              <w:t>对提供服务的经营者未设置服务标识的</w:t>
            </w:r>
          </w:p>
          <w:p>
            <w:pPr>
              <w:spacing w:line="220" w:lineRule="exact"/>
              <w:rPr>
                <w:rFonts w:ascii="黑体" w:hAnsi="黑体" w:eastAsia="黑体" w:cs="仿宋"/>
              </w:rPr>
            </w:pPr>
          </w:p>
        </w:tc>
        <w:tc>
          <w:tcPr>
            <w:tcW w:w="3502"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color w:val="000000"/>
                <w:kern w:val="0"/>
                <w:sz w:val="28"/>
                <w:szCs w:val="28"/>
              </w:rPr>
            </w:pPr>
            <w:r>
              <w:rPr>
                <w:rFonts w:hint="eastAsia" w:ascii="仿宋" w:hAnsi="仿宋" w:eastAsia="仿宋" w:cs="仿宋"/>
                <w:sz w:val="16"/>
                <w:szCs w:val="16"/>
              </w:rPr>
              <w:t>经执法人员核查，提供服务经营者未在经营场所显著位置设置服务标识的，未因未设置标识而产生经济纠纷的，经营者能在执法人员下达责令改正期限内改正的，可免于行政处罚。</w:t>
            </w:r>
          </w:p>
        </w:tc>
        <w:tc>
          <w:tcPr>
            <w:tcW w:w="4472"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hAnsi="Calibri"/>
                <w:sz w:val="24"/>
              </w:rPr>
            </w:pPr>
            <w:r>
              <w:rPr>
                <w:rFonts w:hint="eastAsia" w:ascii="仿宋" w:hAnsi="仿宋" w:eastAsia="仿宋" w:cs="仿宋"/>
                <w:sz w:val="16"/>
                <w:szCs w:val="16"/>
              </w:rPr>
              <w:t>《黑龙江省消费者权益保护条例》第六十七条，违反本条例第二十一条第四款规定的，由工商行政管理部门责令改正，可以处以五千元以上一万元以下的罚款；情节严重的，并处责令停业整顿。适用该条款责令改正部分。</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宋体" w:cs="宋体"/>
                <w:color w:val="000000"/>
                <w:kern w:val="0"/>
                <w:sz w:val="24"/>
              </w:rPr>
            </w:pP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宋体" w:cs="宋体"/>
                <w:color w:val="000000"/>
                <w:kern w:val="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03" w:type="dxa"/>
            <w:vAlign w:val="center"/>
          </w:tcPr>
          <w:p>
            <w:pPr>
              <w:widowControl/>
              <w:spacing w:line="220" w:lineRule="exact"/>
              <w:textAlignment w:val="center"/>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16"/>
                <w:szCs w:val="16"/>
                <w:lang w:val="en-US" w:eastAsia="zh-CN"/>
              </w:rPr>
              <w:t>11</w:t>
            </w:r>
          </w:p>
        </w:tc>
        <w:tc>
          <w:tcPr>
            <w:tcW w:w="774" w:type="dxa"/>
            <w:vAlign w:val="center"/>
          </w:tcPr>
          <w:p>
            <w:pPr>
              <w:widowControl/>
              <w:spacing w:line="220" w:lineRule="exact"/>
              <w:textAlignment w:val="center"/>
              <w:rPr>
                <w:rFonts w:ascii="黑体" w:hAnsi="黑体" w:eastAsia="黑体" w:cs="仿宋"/>
              </w:rPr>
            </w:pPr>
            <w:r>
              <w:rPr>
                <w:rFonts w:hint="eastAsia" w:ascii="仿宋" w:hAnsi="仿宋" w:eastAsia="仿宋" w:cs="仿宋"/>
                <w:color w:val="000000"/>
                <w:kern w:val="0"/>
                <w:sz w:val="16"/>
                <w:szCs w:val="16"/>
              </w:rPr>
              <w:t>市场监管领域</w:t>
            </w:r>
          </w:p>
        </w:tc>
        <w:tc>
          <w:tcPr>
            <w:tcW w:w="2597" w:type="dxa"/>
            <w:vAlign w:val="center"/>
          </w:tcPr>
          <w:p>
            <w:pPr>
              <w:widowControl/>
              <w:snapToGrid w:val="0"/>
              <w:spacing w:line="220" w:lineRule="exact"/>
              <w:textAlignment w:val="center"/>
              <w:rPr>
                <w:rFonts w:ascii="黑体" w:hAnsi="黑体" w:eastAsia="黑体" w:cs="仿宋"/>
              </w:rPr>
            </w:pPr>
            <w:r>
              <w:rPr>
                <w:rFonts w:hint="eastAsia" w:ascii="仿宋" w:hAnsi="仿宋" w:eastAsia="仿宋" w:cs="仿宋"/>
                <w:sz w:val="16"/>
                <w:szCs w:val="16"/>
              </w:rPr>
              <w:t>个体工商户未将营业执照正本置于经营场所的醒目位置</w:t>
            </w:r>
          </w:p>
        </w:tc>
        <w:tc>
          <w:tcPr>
            <w:tcW w:w="350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20" w:lineRule="exact"/>
              <w:textAlignment w:val="center"/>
              <w:rPr>
                <w:rFonts w:ascii="仿宋" w:hAnsi="仿宋" w:eastAsia="仿宋" w:cs="仿宋"/>
                <w:sz w:val="16"/>
                <w:szCs w:val="16"/>
              </w:rPr>
            </w:pPr>
            <w:r>
              <w:rPr>
                <w:rFonts w:hint="eastAsia" w:ascii="仿宋" w:hAnsi="仿宋" w:eastAsia="仿宋" w:cs="仿宋"/>
                <w:sz w:val="16"/>
                <w:szCs w:val="16"/>
              </w:rPr>
              <w:t>责令改正后及时纠正的</w:t>
            </w:r>
          </w:p>
          <w:p>
            <w:pPr>
              <w:widowControl/>
              <w:snapToGrid w:val="0"/>
              <w:spacing w:line="220" w:lineRule="exact"/>
              <w:textAlignment w:val="center"/>
              <w:rPr>
                <w:rFonts w:ascii="仿宋" w:hAnsi="仿宋" w:eastAsia="仿宋" w:cs="仿宋"/>
                <w:color w:val="000000"/>
                <w:kern w:val="0"/>
                <w:sz w:val="28"/>
                <w:szCs w:val="28"/>
              </w:rPr>
            </w:pPr>
          </w:p>
        </w:tc>
        <w:tc>
          <w:tcPr>
            <w:tcW w:w="447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20" w:lineRule="exact"/>
              <w:textAlignment w:val="center"/>
              <w:rPr>
                <w:rFonts w:ascii="仿宋" w:hAnsi="仿宋" w:eastAsia="仿宋" w:cs="仿宋"/>
                <w:sz w:val="16"/>
                <w:szCs w:val="16"/>
              </w:rPr>
            </w:pPr>
            <w:r>
              <w:rPr>
                <w:rFonts w:hint="eastAsia" w:ascii="仿宋" w:hAnsi="仿宋" w:eastAsia="仿宋" w:cs="仿宋"/>
                <w:sz w:val="16"/>
                <w:szCs w:val="16"/>
              </w:rPr>
              <w:t>《个体工商户登记管理办法</w:t>
            </w:r>
            <w:r>
              <w:rPr>
                <w:rFonts w:ascii="仿宋" w:hAnsi="仿宋" w:eastAsia="仿宋" w:cs="仿宋"/>
                <w:sz w:val="16"/>
                <w:szCs w:val="16"/>
              </w:rPr>
              <w:t>(2019</w:t>
            </w:r>
            <w:r>
              <w:rPr>
                <w:rFonts w:hint="eastAsia" w:ascii="仿宋" w:hAnsi="仿宋" w:eastAsia="仿宋" w:cs="仿宋"/>
                <w:sz w:val="16"/>
                <w:szCs w:val="16"/>
              </w:rPr>
              <w:t>年</w:t>
            </w:r>
            <w:r>
              <w:rPr>
                <w:rFonts w:ascii="仿宋" w:hAnsi="仿宋" w:eastAsia="仿宋" w:cs="仿宋"/>
                <w:sz w:val="16"/>
                <w:szCs w:val="16"/>
              </w:rPr>
              <w:t>8</w:t>
            </w:r>
            <w:r>
              <w:rPr>
                <w:rFonts w:hint="eastAsia" w:ascii="仿宋" w:hAnsi="仿宋" w:eastAsia="仿宋" w:cs="仿宋"/>
                <w:sz w:val="16"/>
                <w:szCs w:val="16"/>
              </w:rPr>
              <w:t>月</w:t>
            </w:r>
            <w:r>
              <w:rPr>
                <w:rFonts w:ascii="仿宋" w:hAnsi="仿宋" w:eastAsia="仿宋" w:cs="仿宋"/>
                <w:sz w:val="16"/>
                <w:szCs w:val="16"/>
              </w:rPr>
              <w:t>8</w:t>
            </w:r>
            <w:r>
              <w:rPr>
                <w:rFonts w:hint="eastAsia" w:ascii="仿宋" w:hAnsi="仿宋" w:eastAsia="仿宋" w:cs="仿宋"/>
                <w:sz w:val="16"/>
                <w:szCs w:val="16"/>
              </w:rPr>
              <w:t>日国家市监总局令第</w:t>
            </w:r>
            <w:r>
              <w:rPr>
                <w:rFonts w:ascii="仿宋" w:hAnsi="仿宋" w:eastAsia="仿宋" w:cs="仿宋"/>
                <w:sz w:val="16"/>
                <w:szCs w:val="16"/>
              </w:rPr>
              <w:t>14</w:t>
            </w:r>
            <w:r>
              <w:rPr>
                <w:rFonts w:hint="eastAsia" w:ascii="仿宋" w:hAnsi="仿宋" w:eastAsia="仿宋" w:cs="仿宋"/>
                <w:sz w:val="16"/>
                <w:szCs w:val="16"/>
              </w:rPr>
              <w:t>号</w:t>
            </w:r>
            <w:r>
              <w:rPr>
                <w:rFonts w:ascii="仿宋" w:hAnsi="仿宋" w:eastAsia="仿宋" w:cs="仿宋"/>
                <w:sz w:val="16"/>
                <w:szCs w:val="16"/>
              </w:rPr>
              <w:t>)</w:t>
            </w:r>
            <w:r>
              <w:rPr>
                <w:rFonts w:hint="eastAsia" w:ascii="仿宋" w:hAnsi="仿宋" w:eastAsia="仿宋" w:cs="仿宋"/>
                <w:sz w:val="16"/>
                <w:szCs w:val="16"/>
              </w:rPr>
              <w:t>》第二十五条、第三十七条</w:t>
            </w:r>
          </w:p>
          <w:p>
            <w:pPr>
              <w:widowControl/>
              <w:snapToGrid w:val="0"/>
              <w:spacing w:line="220" w:lineRule="exact"/>
              <w:ind w:firstLine="480" w:firstLineChars="200"/>
              <w:textAlignment w:val="center"/>
              <w:rPr>
                <w:rFonts w:hAnsi="Calibri"/>
                <w:sz w:val="24"/>
              </w:rPr>
            </w:pP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宋体" w:cs="宋体"/>
                <w:color w:val="000000"/>
                <w:kern w:val="0"/>
                <w:sz w:val="24"/>
              </w:rPr>
            </w:pPr>
          </w:p>
        </w:tc>
        <w:tc>
          <w:tcPr>
            <w:tcW w:w="123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宋体" w:cs="宋体"/>
                <w:color w:val="000000"/>
                <w:kern w:val="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03" w:type="dxa"/>
            <w:vAlign w:val="center"/>
          </w:tcPr>
          <w:p>
            <w:pPr>
              <w:widowControl/>
              <w:spacing w:line="220" w:lineRule="exact"/>
              <w:textAlignment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16"/>
                <w:szCs w:val="16"/>
                <w:lang w:val="en-US" w:eastAsia="zh-CN"/>
              </w:rPr>
              <w:t>12</w:t>
            </w:r>
          </w:p>
        </w:tc>
        <w:tc>
          <w:tcPr>
            <w:tcW w:w="774" w:type="dxa"/>
            <w:vAlign w:val="center"/>
          </w:tcPr>
          <w:p>
            <w:pPr>
              <w:widowControl/>
              <w:spacing w:line="220" w:lineRule="exact"/>
              <w:textAlignment w:val="center"/>
              <w:rPr>
                <w:rFonts w:ascii="黑体" w:hAnsi="黑体" w:eastAsia="黑体" w:cs="仿宋"/>
              </w:rPr>
            </w:pPr>
            <w:r>
              <w:rPr>
                <w:rFonts w:hint="eastAsia" w:ascii="仿宋" w:hAnsi="仿宋" w:eastAsia="仿宋" w:cs="仿宋"/>
                <w:color w:val="000000"/>
                <w:kern w:val="0"/>
                <w:sz w:val="16"/>
                <w:szCs w:val="16"/>
              </w:rPr>
              <w:t>市场监管领域</w:t>
            </w:r>
          </w:p>
        </w:tc>
        <w:tc>
          <w:tcPr>
            <w:tcW w:w="2597" w:type="dxa"/>
            <w:vAlign w:val="center"/>
          </w:tcPr>
          <w:p>
            <w:pPr>
              <w:widowControl/>
              <w:snapToGrid w:val="0"/>
              <w:spacing w:line="220" w:lineRule="exact"/>
              <w:textAlignment w:val="center"/>
              <w:rPr>
                <w:rFonts w:ascii="黑体" w:hAnsi="黑体" w:eastAsia="黑体" w:cs="仿宋"/>
              </w:rPr>
            </w:pPr>
            <w:r>
              <w:rPr>
                <w:rFonts w:hint="eastAsia" w:ascii="仿宋" w:hAnsi="仿宋" w:eastAsia="仿宋" w:cs="仿宋"/>
                <w:sz w:val="16"/>
                <w:szCs w:val="16"/>
              </w:rPr>
              <w:t>公司未依法办理登记事项变更登记的</w:t>
            </w:r>
          </w:p>
        </w:tc>
        <w:tc>
          <w:tcPr>
            <w:tcW w:w="3502" w:type="dxa"/>
            <w:vAlign w:val="center"/>
          </w:tcPr>
          <w:p>
            <w:pPr>
              <w:widowControl/>
              <w:snapToGrid w:val="0"/>
              <w:spacing w:line="220" w:lineRule="exact"/>
              <w:textAlignment w:val="center"/>
              <w:rPr>
                <w:rFonts w:ascii="仿宋" w:hAnsi="仿宋" w:eastAsia="仿宋" w:cs="仿宋"/>
                <w:color w:val="000000"/>
                <w:kern w:val="0"/>
                <w:sz w:val="28"/>
                <w:szCs w:val="28"/>
              </w:rPr>
            </w:pPr>
            <w:r>
              <w:rPr>
                <w:rFonts w:hint="eastAsia" w:ascii="仿宋" w:hAnsi="仿宋" w:eastAsia="仿宋" w:cs="仿宋"/>
                <w:sz w:val="16"/>
                <w:szCs w:val="16"/>
              </w:rPr>
              <w:t>责令限期登记后及时办理的</w:t>
            </w:r>
          </w:p>
        </w:tc>
        <w:tc>
          <w:tcPr>
            <w:tcW w:w="4472" w:type="dxa"/>
            <w:vAlign w:val="center"/>
          </w:tcPr>
          <w:p>
            <w:pPr>
              <w:widowControl/>
              <w:snapToGrid w:val="0"/>
              <w:spacing w:line="220" w:lineRule="exact"/>
              <w:textAlignment w:val="center"/>
              <w:rPr>
                <w:rFonts w:hAnsi="Calibri"/>
                <w:sz w:val="24"/>
              </w:rPr>
            </w:pPr>
            <w:r>
              <w:rPr>
                <w:rFonts w:hint="eastAsia" w:ascii="仿宋" w:hAnsi="仿宋" w:eastAsia="仿宋" w:cs="仿宋"/>
                <w:sz w:val="16"/>
                <w:szCs w:val="16"/>
              </w:rPr>
              <w:t>《中华人民共和国公司登记管理条例</w:t>
            </w:r>
            <w:r>
              <w:rPr>
                <w:rFonts w:ascii="仿宋" w:hAnsi="仿宋" w:eastAsia="仿宋" w:cs="仿宋"/>
                <w:sz w:val="16"/>
                <w:szCs w:val="16"/>
              </w:rPr>
              <w:t>(2016</w:t>
            </w:r>
            <w:r>
              <w:rPr>
                <w:rFonts w:hint="eastAsia" w:ascii="仿宋" w:hAnsi="仿宋" w:eastAsia="仿宋" w:cs="仿宋"/>
                <w:sz w:val="16"/>
                <w:szCs w:val="16"/>
              </w:rPr>
              <w:t>年</w:t>
            </w:r>
            <w:r>
              <w:rPr>
                <w:rFonts w:ascii="仿宋" w:hAnsi="仿宋" w:eastAsia="仿宋" w:cs="仿宋"/>
                <w:sz w:val="16"/>
                <w:szCs w:val="16"/>
              </w:rPr>
              <w:t>2</w:t>
            </w:r>
            <w:r>
              <w:rPr>
                <w:rFonts w:hint="eastAsia" w:ascii="仿宋" w:hAnsi="仿宋" w:eastAsia="仿宋" w:cs="仿宋"/>
                <w:sz w:val="16"/>
                <w:szCs w:val="16"/>
              </w:rPr>
              <w:t>月</w:t>
            </w:r>
            <w:r>
              <w:rPr>
                <w:rFonts w:ascii="仿宋" w:hAnsi="仿宋" w:eastAsia="仿宋" w:cs="仿宋"/>
                <w:sz w:val="16"/>
                <w:szCs w:val="16"/>
              </w:rPr>
              <w:t>6</w:t>
            </w:r>
            <w:r>
              <w:rPr>
                <w:rFonts w:hint="eastAsia" w:ascii="仿宋" w:hAnsi="仿宋" w:eastAsia="仿宋" w:cs="仿宋"/>
                <w:sz w:val="16"/>
                <w:szCs w:val="16"/>
              </w:rPr>
              <w:t>日发布的国务院令第</w:t>
            </w:r>
            <w:r>
              <w:rPr>
                <w:rFonts w:ascii="仿宋" w:hAnsi="仿宋" w:eastAsia="仿宋" w:cs="仿宋"/>
                <w:sz w:val="16"/>
                <w:szCs w:val="16"/>
              </w:rPr>
              <w:t>666</w:t>
            </w:r>
            <w:r>
              <w:rPr>
                <w:rFonts w:hint="eastAsia" w:ascii="仿宋" w:hAnsi="仿宋" w:eastAsia="仿宋" w:cs="仿宋"/>
                <w:sz w:val="16"/>
                <w:szCs w:val="16"/>
              </w:rPr>
              <w:t>号</w:t>
            </w:r>
            <w:r>
              <w:rPr>
                <w:rFonts w:ascii="仿宋" w:hAnsi="仿宋" w:eastAsia="仿宋" w:cs="仿宋"/>
                <w:sz w:val="16"/>
                <w:szCs w:val="16"/>
              </w:rPr>
              <w:t>)</w:t>
            </w:r>
            <w:r>
              <w:rPr>
                <w:rFonts w:hint="eastAsia" w:ascii="仿宋" w:hAnsi="仿宋" w:eastAsia="仿宋" w:cs="仿宋"/>
                <w:sz w:val="16"/>
                <w:szCs w:val="16"/>
              </w:rPr>
              <w:t>》第二十六条、第六十八条</w:t>
            </w:r>
            <w:r>
              <w:rPr>
                <w:rFonts w:ascii="仿宋" w:hAnsi="仿宋" w:eastAsia="仿宋" w:cs="仿宋"/>
                <w:sz w:val="16"/>
                <w:szCs w:val="16"/>
              </w:rPr>
              <w:t xml:space="preserve"> </w:t>
            </w:r>
          </w:p>
        </w:tc>
        <w:tc>
          <w:tcPr>
            <w:tcW w:w="1695" w:type="dxa"/>
            <w:vAlign w:val="center"/>
          </w:tcPr>
          <w:p>
            <w:pPr>
              <w:widowControl/>
              <w:spacing w:line="400" w:lineRule="exact"/>
              <w:textAlignment w:val="center"/>
              <w:rPr>
                <w:rFonts w:ascii="宋体" w:cs="宋体"/>
                <w:color w:val="000000"/>
                <w:kern w:val="0"/>
                <w:sz w:val="24"/>
              </w:rPr>
            </w:pPr>
          </w:p>
        </w:tc>
        <w:tc>
          <w:tcPr>
            <w:tcW w:w="1230" w:type="dxa"/>
            <w:vAlign w:val="center"/>
          </w:tcPr>
          <w:p>
            <w:pPr>
              <w:widowControl/>
              <w:spacing w:line="400" w:lineRule="exact"/>
              <w:textAlignment w:val="center"/>
              <w:rPr>
                <w:rFonts w:ascii="宋体" w:cs="宋体"/>
                <w:color w:val="000000"/>
                <w:kern w:val="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03" w:type="dxa"/>
            <w:vAlign w:val="center"/>
          </w:tcPr>
          <w:p>
            <w:pPr>
              <w:widowControl/>
              <w:spacing w:line="220" w:lineRule="exact"/>
              <w:textAlignment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16"/>
                <w:szCs w:val="16"/>
                <w:lang w:val="en-US" w:eastAsia="zh-CN"/>
              </w:rPr>
              <w:t>13</w:t>
            </w:r>
          </w:p>
        </w:tc>
        <w:tc>
          <w:tcPr>
            <w:tcW w:w="774" w:type="dxa"/>
            <w:vAlign w:val="center"/>
          </w:tcPr>
          <w:p>
            <w:pPr>
              <w:widowControl/>
              <w:spacing w:line="220" w:lineRule="exact"/>
              <w:textAlignment w:val="center"/>
              <w:rPr>
                <w:rFonts w:ascii="黑体" w:hAnsi="黑体" w:eastAsia="黑体" w:cs="仿宋"/>
              </w:rPr>
            </w:pPr>
            <w:r>
              <w:rPr>
                <w:rFonts w:hint="eastAsia" w:ascii="仿宋" w:hAnsi="仿宋" w:eastAsia="仿宋" w:cs="仿宋"/>
                <w:color w:val="000000"/>
                <w:kern w:val="0"/>
                <w:sz w:val="16"/>
                <w:szCs w:val="16"/>
              </w:rPr>
              <w:t>市场监管领域</w:t>
            </w:r>
          </w:p>
        </w:tc>
        <w:tc>
          <w:tcPr>
            <w:tcW w:w="2597" w:type="dxa"/>
            <w:vAlign w:val="center"/>
          </w:tcPr>
          <w:p>
            <w:pPr>
              <w:widowControl/>
              <w:snapToGrid w:val="0"/>
              <w:spacing w:line="220" w:lineRule="exact"/>
              <w:textAlignment w:val="center"/>
              <w:rPr>
                <w:rFonts w:ascii="黑体" w:hAnsi="黑体" w:eastAsia="黑体" w:cs="仿宋"/>
              </w:rPr>
            </w:pPr>
            <w:r>
              <w:rPr>
                <w:rFonts w:hint="eastAsia" w:ascii="仿宋" w:hAnsi="仿宋" w:eastAsia="仿宋" w:cs="仿宋"/>
                <w:sz w:val="16"/>
                <w:szCs w:val="16"/>
              </w:rPr>
              <w:t>公司未将《企业法人营业执照》正本或者《营业执照》正本置于公司住所或者分公司营业场所醒目位置的</w:t>
            </w:r>
          </w:p>
        </w:tc>
        <w:tc>
          <w:tcPr>
            <w:tcW w:w="3502" w:type="dxa"/>
            <w:vAlign w:val="center"/>
          </w:tcPr>
          <w:p>
            <w:pPr>
              <w:widowControl/>
              <w:snapToGrid w:val="0"/>
              <w:spacing w:line="220" w:lineRule="exact"/>
              <w:textAlignment w:val="center"/>
              <w:rPr>
                <w:rFonts w:ascii="仿宋" w:hAnsi="仿宋" w:eastAsia="仿宋" w:cs="仿宋"/>
                <w:color w:val="000000"/>
                <w:kern w:val="0"/>
                <w:sz w:val="28"/>
                <w:szCs w:val="28"/>
              </w:rPr>
            </w:pPr>
            <w:r>
              <w:rPr>
                <w:rFonts w:hint="eastAsia" w:ascii="仿宋" w:hAnsi="仿宋" w:eastAsia="仿宋" w:cs="仿宋"/>
                <w:sz w:val="16"/>
                <w:szCs w:val="16"/>
              </w:rPr>
              <w:t>责令改正后及时纠正的</w:t>
            </w:r>
          </w:p>
        </w:tc>
        <w:tc>
          <w:tcPr>
            <w:tcW w:w="4472" w:type="dxa"/>
            <w:vAlign w:val="center"/>
          </w:tcPr>
          <w:p>
            <w:pPr>
              <w:widowControl/>
              <w:snapToGrid w:val="0"/>
              <w:spacing w:line="220" w:lineRule="exact"/>
              <w:textAlignment w:val="center"/>
              <w:rPr>
                <w:rFonts w:hAnsi="Calibri"/>
                <w:sz w:val="24"/>
              </w:rPr>
            </w:pPr>
            <w:r>
              <w:rPr>
                <w:rFonts w:hint="eastAsia" w:ascii="仿宋" w:hAnsi="仿宋" w:eastAsia="仿宋" w:cs="仿宋"/>
                <w:sz w:val="16"/>
                <w:szCs w:val="16"/>
              </w:rPr>
              <w:t>《中华人民共和国公司登记管理条例</w:t>
            </w:r>
            <w:r>
              <w:rPr>
                <w:rFonts w:ascii="仿宋" w:hAnsi="仿宋" w:eastAsia="仿宋" w:cs="仿宋"/>
                <w:sz w:val="16"/>
                <w:szCs w:val="16"/>
              </w:rPr>
              <w:t>(2016</w:t>
            </w:r>
            <w:r>
              <w:rPr>
                <w:rFonts w:hint="eastAsia" w:ascii="仿宋" w:hAnsi="仿宋" w:eastAsia="仿宋" w:cs="仿宋"/>
                <w:sz w:val="16"/>
                <w:szCs w:val="16"/>
              </w:rPr>
              <w:t>年</w:t>
            </w:r>
            <w:r>
              <w:rPr>
                <w:rFonts w:ascii="仿宋" w:hAnsi="仿宋" w:eastAsia="仿宋" w:cs="仿宋"/>
                <w:sz w:val="16"/>
                <w:szCs w:val="16"/>
              </w:rPr>
              <w:t>2</w:t>
            </w:r>
            <w:r>
              <w:rPr>
                <w:rFonts w:hint="eastAsia" w:ascii="仿宋" w:hAnsi="仿宋" w:eastAsia="仿宋" w:cs="仿宋"/>
                <w:sz w:val="16"/>
                <w:szCs w:val="16"/>
              </w:rPr>
              <w:t>月</w:t>
            </w:r>
            <w:r>
              <w:rPr>
                <w:rFonts w:ascii="仿宋" w:hAnsi="仿宋" w:eastAsia="仿宋" w:cs="仿宋"/>
                <w:sz w:val="16"/>
                <w:szCs w:val="16"/>
              </w:rPr>
              <w:t>6</w:t>
            </w:r>
            <w:r>
              <w:rPr>
                <w:rFonts w:hint="eastAsia" w:ascii="仿宋" w:hAnsi="仿宋" w:eastAsia="仿宋" w:cs="仿宋"/>
                <w:sz w:val="16"/>
                <w:szCs w:val="16"/>
              </w:rPr>
              <w:t>日发布的国务院令第</w:t>
            </w:r>
            <w:r>
              <w:rPr>
                <w:rFonts w:ascii="仿宋" w:hAnsi="仿宋" w:eastAsia="仿宋" w:cs="仿宋"/>
                <w:sz w:val="16"/>
                <w:szCs w:val="16"/>
              </w:rPr>
              <w:t>666</w:t>
            </w:r>
            <w:r>
              <w:rPr>
                <w:rFonts w:hint="eastAsia" w:ascii="仿宋" w:hAnsi="仿宋" w:eastAsia="仿宋" w:cs="仿宋"/>
                <w:sz w:val="16"/>
                <w:szCs w:val="16"/>
              </w:rPr>
              <w:t>号</w:t>
            </w:r>
            <w:r>
              <w:rPr>
                <w:rFonts w:ascii="仿宋" w:hAnsi="仿宋" w:eastAsia="仿宋" w:cs="仿宋"/>
                <w:sz w:val="16"/>
                <w:szCs w:val="16"/>
              </w:rPr>
              <w:t>)</w:t>
            </w:r>
            <w:r>
              <w:rPr>
                <w:rFonts w:hint="eastAsia" w:ascii="仿宋" w:hAnsi="仿宋" w:eastAsia="仿宋" w:cs="仿宋"/>
                <w:sz w:val="16"/>
                <w:szCs w:val="16"/>
              </w:rPr>
              <w:t>》第五十八条、第七十二条</w:t>
            </w:r>
          </w:p>
        </w:tc>
        <w:tc>
          <w:tcPr>
            <w:tcW w:w="1695" w:type="dxa"/>
            <w:vAlign w:val="center"/>
          </w:tcPr>
          <w:p>
            <w:pPr>
              <w:widowControl/>
              <w:spacing w:line="400" w:lineRule="exact"/>
              <w:textAlignment w:val="center"/>
              <w:rPr>
                <w:rFonts w:ascii="宋体" w:cs="宋体"/>
                <w:color w:val="000000"/>
                <w:kern w:val="0"/>
                <w:sz w:val="24"/>
              </w:rPr>
            </w:pPr>
          </w:p>
        </w:tc>
        <w:tc>
          <w:tcPr>
            <w:tcW w:w="1230" w:type="dxa"/>
            <w:vAlign w:val="center"/>
          </w:tcPr>
          <w:p>
            <w:pPr>
              <w:widowControl/>
              <w:spacing w:line="400" w:lineRule="exact"/>
              <w:textAlignment w:val="center"/>
              <w:rPr>
                <w:rFonts w:ascii="宋体" w:cs="宋体"/>
                <w:color w:val="000000"/>
                <w:kern w:val="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03" w:type="dxa"/>
            <w:vAlign w:val="center"/>
          </w:tcPr>
          <w:p>
            <w:pPr>
              <w:widowControl/>
              <w:spacing w:line="220" w:lineRule="exact"/>
              <w:textAlignment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16"/>
                <w:szCs w:val="16"/>
                <w:lang w:val="en-US" w:eastAsia="zh-CN"/>
              </w:rPr>
              <w:t>14</w:t>
            </w:r>
          </w:p>
        </w:tc>
        <w:tc>
          <w:tcPr>
            <w:tcW w:w="774" w:type="dxa"/>
            <w:vAlign w:val="center"/>
          </w:tcPr>
          <w:p>
            <w:pPr>
              <w:widowControl/>
              <w:spacing w:line="220" w:lineRule="exact"/>
              <w:textAlignment w:val="center"/>
              <w:rPr>
                <w:rFonts w:ascii="黑体" w:hAnsi="黑体" w:eastAsia="黑体" w:cs="仿宋"/>
              </w:rPr>
            </w:pPr>
            <w:r>
              <w:rPr>
                <w:rFonts w:hint="eastAsia" w:ascii="仿宋" w:hAnsi="仿宋" w:eastAsia="仿宋" w:cs="仿宋"/>
                <w:color w:val="000000"/>
                <w:kern w:val="0"/>
                <w:sz w:val="16"/>
                <w:szCs w:val="16"/>
              </w:rPr>
              <w:t>市场监管领域</w:t>
            </w:r>
          </w:p>
        </w:tc>
        <w:tc>
          <w:tcPr>
            <w:tcW w:w="2597" w:type="dxa"/>
            <w:vAlign w:val="center"/>
          </w:tcPr>
          <w:p>
            <w:pPr>
              <w:widowControl/>
              <w:snapToGrid w:val="0"/>
              <w:spacing w:line="220" w:lineRule="exact"/>
              <w:textAlignment w:val="center"/>
              <w:rPr>
                <w:rFonts w:ascii="黑体" w:hAnsi="黑体" w:eastAsia="黑体" w:cs="仿宋"/>
              </w:rPr>
            </w:pPr>
            <w:r>
              <w:rPr>
                <w:rFonts w:hint="eastAsia" w:ascii="仿宋" w:hAnsi="仿宋" w:eastAsia="仿宋" w:cs="仿宋"/>
                <w:sz w:val="16"/>
                <w:szCs w:val="16"/>
              </w:rPr>
              <w:t>企业、经营单位未将营业执照正本悬挂在主要办事场所或者主要经营场所的</w:t>
            </w:r>
          </w:p>
        </w:tc>
        <w:tc>
          <w:tcPr>
            <w:tcW w:w="3502" w:type="dxa"/>
            <w:vAlign w:val="center"/>
          </w:tcPr>
          <w:p>
            <w:pPr>
              <w:widowControl/>
              <w:snapToGrid w:val="0"/>
              <w:spacing w:line="220" w:lineRule="exact"/>
              <w:textAlignment w:val="center"/>
              <w:rPr>
                <w:rFonts w:ascii="仿宋" w:hAnsi="仿宋" w:eastAsia="仿宋" w:cs="仿宋"/>
                <w:color w:val="000000"/>
                <w:kern w:val="0"/>
                <w:sz w:val="28"/>
                <w:szCs w:val="28"/>
              </w:rPr>
            </w:pPr>
            <w:r>
              <w:rPr>
                <w:rFonts w:hint="eastAsia" w:ascii="仿宋" w:hAnsi="仿宋" w:eastAsia="仿宋" w:cs="仿宋"/>
                <w:sz w:val="16"/>
                <w:szCs w:val="16"/>
              </w:rPr>
              <w:t>责令改正后及时纠正的</w:t>
            </w:r>
          </w:p>
        </w:tc>
        <w:tc>
          <w:tcPr>
            <w:tcW w:w="4472" w:type="dxa"/>
            <w:vAlign w:val="center"/>
          </w:tcPr>
          <w:p>
            <w:pPr>
              <w:widowControl/>
              <w:snapToGrid w:val="0"/>
              <w:spacing w:line="220" w:lineRule="exact"/>
              <w:textAlignment w:val="center"/>
              <w:rPr>
                <w:rFonts w:hAnsi="Calibri"/>
                <w:sz w:val="24"/>
              </w:rPr>
            </w:pPr>
            <w:r>
              <w:rPr>
                <w:rFonts w:hint="eastAsia" w:ascii="仿宋" w:hAnsi="仿宋" w:eastAsia="仿宋" w:cs="仿宋"/>
                <w:sz w:val="16"/>
                <w:szCs w:val="16"/>
              </w:rPr>
              <w:t>《中华人民共和国企业法人登记管理条例施行细则</w:t>
            </w:r>
            <w:r>
              <w:rPr>
                <w:rFonts w:ascii="仿宋" w:hAnsi="仿宋" w:eastAsia="仿宋" w:cs="仿宋"/>
                <w:sz w:val="16"/>
                <w:szCs w:val="16"/>
              </w:rPr>
              <w:t>2020</w:t>
            </w:r>
            <w:r>
              <w:rPr>
                <w:rFonts w:hint="eastAsia" w:ascii="仿宋" w:hAnsi="仿宋" w:eastAsia="仿宋" w:cs="仿宋"/>
                <w:sz w:val="16"/>
                <w:szCs w:val="16"/>
              </w:rPr>
              <w:t>年</w:t>
            </w:r>
            <w:r>
              <w:rPr>
                <w:rFonts w:ascii="仿宋" w:hAnsi="仿宋" w:eastAsia="仿宋" w:cs="仿宋"/>
                <w:sz w:val="16"/>
                <w:szCs w:val="16"/>
              </w:rPr>
              <w:t>10</w:t>
            </w:r>
            <w:r>
              <w:rPr>
                <w:rFonts w:hint="eastAsia" w:ascii="仿宋" w:hAnsi="仿宋" w:eastAsia="仿宋" w:cs="仿宋"/>
                <w:sz w:val="16"/>
                <w:szCs w:val="16"/>
              </w:rPr>
              <w:t>月</w:t>
            </w:r>
            <w:r>
              <w:rPr>
                <w:rFonts w:ascii="仿宋" w:hAnsi="仿宋" w:eastAsia="仿宋" w:cs="仿宋"/>
                <w:sz w:val="16"/>
                <w:szCs w:val="16"/>
              </w:rPr>
              <w:t>23</w:t>
            </w:r>
            <w:r>
              <w:rPr>
                <w:rFonts w:hint="eastAsia" w:ascii="仿宋" w:hAnsi="仿宋" w:eastAsia="仿宋" w:cs="仿宋"/>
                <w:sz w:val="16"/>
                <w:szCs w:val="16"/>
              </w:rPr>
              <w:t>日</w:t>
            </w:r>
            <w:r>
              <w:fldChar w:fldCharType="begin"/>
            </w:r>
            <w:r>
              <w:instrText xml:space="preserve"> HYPERLINK "https://www.shui5.cn/article/26/139326.html" \t "https://www.shui5.cn/article/2d/_blank" \o "国家市场监督管理总局令第31号 国家市场监督管理总局关于修改部分规章的决定" </w:instrText>
            </w:r>
            <w:r>
              <w:fldChar w:fldCharType="separate"/>
            </w:r>
            <w:r>
              <w:rPr>
                <w:rFonts w:hint="eastAsia" w:ascii="仿宋" w:hAnsi="仿宋" w:eastAsia="仿宋" w:cs="仿宋"/>
                <w:sz w:val="16"/>
                <w:szCs w:val="16"/>
              </w:rPr>
              <w:t>国家市场监督管理总局令第</w:t>
            </w:r>
            <w:r>
              <w:rPr>
                <w:rFonts w:ascii="仿宋" w:hAnsi="仿宋" w:eastAsia="仿宋" w:cs="仿宋"/>
                <w:sz w:val="16"/>
                <w:szCs w:val="16"/>
              </w:rPr>
              <w:t>31</w:t>
            </w:r>
            <w:r>
              <w:rPr>
                <w:rFonts w:hint="eastAsia" w:ascii="仿宋" w:hAnsi="仿宋" w:eastAsia="仿宋" w:cs="仿宋"/>
                <w:sz w:val="16"/>
                <w:szCs w:val="16"/>
              </w:rPr>
              <w:t>号</w:t>
            </w:r>
            <w:r>
              <w:rPr>
                <w:rFonts w:hint="eastAsia" w:ascii="仿宋" w:hAnsi="仿宋" w:eastAsia="仿宋" w:cs="仿宋"/>
                <w:sz w:val="16"/>
                <w:szCs w:val="16"/>
              </w:rPr>
              <w:fldChar w:fldCharType="end"/>
            </w:r>
            <w:r>
              <w:rPr>
                <w:rFonts w:hint="eastAsia" w:ascii="仿宋" w:hAnsi="仿宋" w:eastAsia="仿宋" w:cs="仿宋"/>
                <w:sz w:val="16"/>
                <w:szCs w:val="16"/>
              </w:rPr>
              <w:t>第八次修订</w:t>
            </w:r>
            <w:r>
              <w:rPr>
                <w:rFonts w:ascii="仿宋" w:hAnsi="仿宋" w:eastAsia="仿宋" w:cs="仿宋"/>
                <w:sz w:val="16"/>
                <w:szCs w:val="16"/>
              </w:rPr>
              <w:t xml:space="preserve"> </w:t>
            </w:r>
            <w:r>
              <w:rPr>
                <w:rFonts w:hint="eastAsia" w:ascii="仿宋" w:hAnsi="仿宋" w:eastAsia="仿宋" w:cs="仿宋"/>
                <w:sz w:val="16"/>
                <w:szCs w:val="16"/>
              </w:rPr>
              <w:t>》第四十二条、第四十九条</w:t>
            </w:r>
            <w:r>
              <w:rPr>
                <w:rFonts w:ascii="仿宋" w:hAnsi="仿宋" w:eastAsia="仿宋" w:cs="仿宋"/>
                <w:sz w:val="16"/>
                <w:szCs w:val="16"/>
              </w:rPr>
              <w:t xml:space="preserve"> </w:t>
            </w:r>
          </w:p>
        </w:tc>
        <w:tc>
          <w:tcPr>
            <w:tcW w:w="1695" w:type="dxa"/>
            <w:vAlign w:val="center"/>
          </w:tcPr>
          <w:p>
            <w:pPr>
              <w:widowControl/>
              <w:spacing w:line="400" w:lineRule="exact"/>
              <w:textAlignment w:val="center"/>
              <w:rPr>
                <w:rFonts w:ascii="宋体" w:cs="宋体"/>
                <w:color w:val="000000"/>
                <w:kern w:val="0"/>
                <w:sz w:val="24"/>
              </w:rPr>
            </w:pPr>
          </w:p>
        </w:tc>
        <w:tc>
          <w:tcPr>
            <w:tcW w:w="1230" w:type="dxa"/>
            <w:vAlign w:val="center"/>
          </w:tcPr>
          <w:p>
            <w:pPr>
              <w:widowControl/>
              <w:spacing w:line="400" w:lineRule="exact"/>
              <w:textAlignment w:val="center"/>
              <w:rPr>
                <w:rFonts w:ascii="宋体" w:cs="宋体"/>
                <w:color w:val="000000"/>
                <w:kern w:val="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03" w:type="dxa"/>
            <w:vAlign w:val="center"/>
          </w:tcPr>
          <w:p>
            <w:pPr>
              <w:widowControl/>
              <w:spacing w:line="220" w:lineRule="exact"/>
              <w:textAlignment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16"/>
                <w:szCs w:val="16"/>
                <w:lang w:val="en-US" w:eastAsia="zh-CN"/>
              </w:rPr>
              <w:t>15</w:t>
            </w:r>
          </w:p>
        </w:tc>
        <w:tc>
          <w:tcPr>
            <w:tcW w:w="774" w:type="dxa"/>
            <w:vAlign w:val="center"/>
          </w:tcPr>
          <w:p>
            <w:pPr>
              <w:widowControl/>
              <w:spacing w:line="220" w:lineRule="exact"/>
              <w:textAlignment w:val="center"/>
              <w:rPr>
                <w:rFonts w:ascii="黑体" w:hAnsi="黑体" w:eastAsia="黑体" w:cs="仿宋"/>
              </w:rPr>
            </w:pPr>
            <w:r>
              <w:rPr>
                <w:rFonts w:hint="eastAsia" w:ascii="仿宋" w:hAnsi="仿宋" w:eastAsia="仿宋" w:cs="仿宋"/>
                <w:color w:val="000000"/>
                <w:kern w:val="0"/>
                <w:sz w:val="16"/>
                <w:szCs w:val="16"/>
              </w:rPr>
              <w:t>市场监管领域</w:t>
            </w:r>
          </w:p>
        </w:tc>
        <w:tc>
          <w:tcPr>
            <w:tcW w:w="2597" w:type="dxa"/>
            <w:vAlign w:val="center"/>
          </w:tcPr>
          <w:p>
            <w:pPr>
              <w:widowControl/>
              <w:snapToGrid w:val="0"/>
              <w:spacing w:line="220" w:lineRule="exact"/>
              <w:textAlignment w:val="center"/>
              <w:rPr>
                <w:rFonts w:ascii="黑体" w:hAnsi="黑体" w:eastAsia="黑体" w:cs="仿宋"/>
              </w:rPr>
            </w:pPr>
            <w:r>
              <w:rPr>
                <w:rFonts w:hint="eastAsia" w:ascii="仿宋" w:hAnsi="仿宋" w:eastAsia="仿宋" w:cs="仿宋"/>
                <w:sz w:val="16"/>
                <w:szCs w:val="16"/>
              </w:rPr>
              <w:t>个人独资企业改变登记事项未办理变更登记的</w:t>
            </w:r>
          </w:p>
        </w:tc>
        <w:tc>
          <w:tcPr>
            <w:tcW w:w="3502" w:type="dxa"/>
            <w:vAlign w:val="center"/>
          </w:tcPr>
          <w:p>
            <w:pPr>
              <w:widowControl/>
              <w:snapToGrid w:val="0"/>
              <w:spacing w:line="220" w:lineRule="exact"/>
              <w:textAlignment w:val="center"/>
              <w:rPr>
                <w:rFonts w:ascii="仿宋" w:hAnsi="仿宋" w:eastAsia="仿宋" w:cs="仿宋"/>
                <w:color w:val="000000"/>
                <w:kern w:val="0"/>
                <w:sz w:val="28"/>
                <w:szCs w:val="28"/>
              </w:rPr>
            </w:pPr>
            <w:r>
              <w:rPr>
                <w:rFonts w:hint="eastAsia" w:ascii="仿宋" w:hAnsi="仿宋" w:eastAsia="仿宋" w:cs="仿宋"/>
                <w:sz w:val="16"/>
                <w:szCs w:val="16"/>
              </w:rPr>
              <w:t>责令限期登记后及时登记的</w:t>
            </w:r>
          </w:p>
        </w:tc>
        <w:tc>
          <w:tcPr>
            <w:tcW w:w="4472" w:type="dxa"/>
            <w:vAlign w:val="center"/>
          </w:tcPr>
          <w:p>
            <w:pPr>
              <w:widowControl/>
              <w:snapToGrid w:val="0"/>
              <w:spacing w:line="220" w:lineRule="exact"/>
              <w:textAlignment w:val="center"/>
              <w:rPr>
                <w:rFonts w:hAnsi="Calibri"/>
                <w:sz w:val="24"/>
              </w:rPr>
            </w:pPr>
            <w:r>
              <w:rPr>
                <w:rFonts w:hint="eastAsia" w:ascii="仿宋" w:hAnsi="仿宋" w:eastAsia="仿宋" w:cs="仿宋"/>
                <w:sz w:val="16"/>
                <w:szCs w:val="16"/>
              </w:rPr>
              <w:t>《个人独资企业登记管理办法</w:t>
            </w:r>
            <w:r>
              <w:rPr>
                <w:rFonts w:ascii="仿宋" w:hAnsi="仿宋" w:eastAsia="仿宋" w:cs="仿宋"/>
                <w:sz w:val="16"/>
                <w:szCs w:val="16"/>
              </w:rPr>
              <w:t>(2019</w:t>
            </w:r>
            <w:r>
              <w:rPr>
                <w:rFonts w:hint="eastAsia" w:ascii="仿宋" w:hAnsi="仿宋" w:eastAsia="仿宋" w:cs="仿宋"/>
                <w:sz w:val="16"/>
                <w:szCs w:val="16"/>
              </w:rPr>
              <w:t>年国家市监总局令第</w:t>
            </w:r>
            <w:r>
              <w:rPr>
                <w:rFonts w:ascii="仿宋" w:hAnsi="仿宋" w:eastAsia="仿宋" w:cs="仿宋"/>
                <w:sz w:val="16"/>
                <w:szCs w:val="16"/>
              </w:rPr>
              <w:t>14</w:t>
            </w:r>
            <w:r>
              <w:rPr>
                <w:rFonts w:hint="eastAsia" w:ascii="仿宋" w:hAnsi="仿宋" w:eastAsia="仿宋" w:cs="仿宋"/>
                <w:sz w:val="16"/>
                <w:szCs w:val="16"/>
              </w:rPr>
              <w:t>号</w:t>
            </w:r>
            <w:r>
              <w:rPr>
                <w:rFonts w:ascii="仿宋" w:hAnsi="仿宋" w:eastAsia="仿宋" w:cs="仿宋"/>
                <w:sz w:val="16"/>
                <w:szCs w:val="16"/>
              </w:rPr>
              <w:t>)</w:t>
            </w:r>
            <w:r>
              <w:rPr>
                <w:rFonts w:hint="eastAsia" w:ascii="仿宋" w:hAnsi="仿宋" w:eastAsia="仿宋" w:cs="仿宋"/>
                <w:sz w:val="16"/>
                <w:szCs w:val="16"/>
              </w:rPr>
              <w:t>》第十三条、第三十六条</w:t>
            </w:r>
          </w:p>
        </w:tc>
        <w:tc>
          <w:tcPr>
            <w:tcW w:w="1695" w:type="dxa"/>
            <w:vAlign w:val="center"/>
          </w:tcPr>
          <w:p>
            <w:pPr>
              <w:widowControl/>
              <w:spacing w:line="400" w:lineRule="exact"/>
              <w:textAlignment w:val="center"/>
              <w:rPr>
                <w:rFonts w:ascii="宋体" w:cs="宋体"/>
                <w:color w:val="000000"/>
                <w:kern w:val="0"/>
                <w:sz w:val="24"/>
              </w:rPr>
            </w:pPr>
          </w:p>
        </w:tc>
        <w:tc>
          <w:tcPr>
            <w:tcW w:w="1230" w:type="dxa"/>
            <w:vAlign w:val="center"/>
          </w:tcPr>
          <w:p>
            <w:pPr>
              <w:widowControl/>
              <w:spacing w:line="400" w:lineRule="exact"/>
              <w:textAlignment w:val="center"/>
              <w:rPr>
                <w:rFonts w:ascii="宋体" w:cs="宋体"/>
                <w:color w:val="000000"/>
                <w:kern w:val="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03" w:type="dxa"/>
            <w:vAlign w:val="center"/>
          </w:tcPr>
          <w:p>
            <w:pPr>
              <w:widowControl/>
              <w:spacing w:line="220" w:lineRule="exact"/>
              <w:textAlignment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16"/>
                <w:szCs w:val="16"/>
                <w:lang w:val="en-US" w:eastAsia="zh-CN"/>
              </w:rPr>
              <w:t>16</w:t>
            </w:r>
          </w:p>
        </w:tc>
        <w:tc>
          <w:tcPr>
            <w:tcW w:w="774" w:type="dxa"/>
            <w:vAlign w:val="center"/>
          </w:tcPr>
          <w:p>
            <w:pPr>
              <w:widowControl/>
              <w:spacing w:line="220" w:lineRule="exact"/>
              <w:textAlignment w:val="center"/>
              <w:rPr>
                <w:rFonts w:ascii="黑体" w:hAnsi="黑体" w:eastAsia="黑体" w:cs="仿宋"/>
              </w:rPr>
            </w:pPr>
            <w:r>
              <w:rPr>
                <w:rFonts w:hint="eastAsia" w:ascii="仿宋" w:hAnsi="仿宋" w:eastAsia="仿宋" w:cs="仿宋"/>
                <w:color w:val="000000"/>
                <w:kern w:val="0"/>
                <w:sz w:val="16"/>
                <w:szCs w:val="16"/>
              </w:rPr>
              <w:t>市场监管领域</w:t>
            </w:r>
          </w:p>
        </w:tc>
        <w:tc>
          <w:tcPr>
            <w:tcW w:w="2597" w:type="dxa"/>
            <w:vAlign w:val="center"/>
          </w:tcPr>
          <w:p>
            <w:pPr>
              <w:widowControl/>
              <w:snapToGrid w:val="0"/>
              <w:spacing w:line="220" w:lineRule="exact"/>
              <w:textAlignment w:val="center"/>
              <w:rPr>
                <w:rFonts w:ascii="黑体" w:hAnsi="黑体" w:eastAsia="黑体" w:cs="仿宋"/>
              </w:rPr>
            </w:pPr>
            <w:r>
              <w:rPr>
                <w:rFonts w:hint="eastAsia" w:ascii="仿宋" w:hAnsi="仿宋" w:eastAsia="仿宋" w:cs="仿宋"/>
                <w:sz w:val="16"/>
                <w:szCs w:val="16"/>
              </w:rPr>
              <w:t>个人独资企业未将营业执照正本置放在企业住所的醒目位置的</w:t>
            </w:r>
          </w:p>
        </w:tc>
        <w:tc>
          <w:tcPr>
            <w:tcW w:w="3502" w:type="dxa"/>
            <w:vAlign w:val="center"/>
          </w:tcPr>
          <w:p>
            <w:pPr>
              <w:widowControl/>
              <w:snapToGrid w:val="0"/>
              <w:spacing w:line="220" w:lineRule="exact"/>
              <w:ind w:firstLine="320" w:firstLineChars="200"/>
              <w:textAlignment w:val="center"/>
              <w:rPr>
                <w:rFonts w:ascii="仿宋" w:hAnsi="仿宋" w:eastAsia="仿宋" w:cs="仿宋"/>
                <w:color w:val="000000"/>
                <w:kern w:val="0"/>
                <w:sz w:val="28"/>
                <w:szCs w:val="28"/>
              </w:rPr>
            </w:pPr>
            <w:r>
              <w:rPr>
                <w:rFonts w:hint="eastAsia" w:ascii="仿宋" w:hAnsi="仿宋" w:eastAsia="仿宋" w:cs="仿宋"/>
                <w:sz w:val="16"/>
                <w:szCs w:val="16"/>
              </w:rPr>
              <w:t>责令改正后及时纠正的</w:t>
            </w:r>
          </w:p>
        </w:tc>
        <w:tc>
          <w:tcPr>
            <w:tcW w:w="4472" w:type="dxa"/>
            <w:vAlign w:val="center"/>
          </w:tcPr>
          <w:p>
            <w:pPr>
              <w:widowControl/>
              <w:snapToGrid w:val="0"/>
              <w:spacing w:line="220" w:lineRule="exact"/>
              <w:textAlignment w:val="center"/>
              <w:rPr>
                <w:rFonts w:hAnsi="Calibri"/>
                <w:sz w:val="24"/>
              </w:rPr>
            </w:pPr>
            <w:r>
              <w:rPr>
                <w:rFonts w:hint="eastAsia" w:ascii="仿宋" w:hAnsi="仿宋" w:eastAsia="仿宋" w:cs="仿宋"/>
                <w:sz w:val="16"/>
                <w:szCs w:val="16"/>
              </w:rPr>
              <w:t>《个人独资企业登记管理办法</w:t>
            </w:r>
            <w:r>
              <w:rPr>
                <w:rFonts w:ascii="仿宋" w:hAnsi="仿宋" w:eastAsia="仿宋" w:cs="仿宋"/>
                <w:sz w:val="16"/>
                <w:szCs w:val="16"/>
              </w:rPr>
              <w:t>(2019</w:t>
            </w:r>
            <w:r>
              <w:rPr>
                <w:rFonts w:hint="eastAsia" w:ascii="仿宋" w:hAnsi="仿宋" w:eastAsia="仿宋" w:cs="仿宋"/>
                <w:sz w:val="16"/>
                <w:szCs w:val="16"/>
              </w:rPr>
              <w:t>年国家市监总局令第</w:t>
            </w:r>
            <w:r>
              <w:rPr>
                <w:rFonts w:ascii="仿宋" w:hAnsi="仿宋" w:eastAsia="仿宋" w:cs="仿宋"/>
                <w:sz w:val="16"/>
                <w:szCs w:val="16"/>
              </w:rPr>
              <w:t>14</w:t>
            </w:r>
            <w:r>
              <w:rPr>
                <w:rFonts w:hint="eastAsia" w:ascii="仿宋" w:hAnsi="仿宋" w:eastAsia="仿宋" w:cs="仿宋"/>
                <w:sz w:val="16"/>
                <w:szCs w:val="16"/>
              </w:rPr>
              <w:t>号</w:t>
            </w:r>
            <w:r>
              <w:rPr>
                <w:rFonts w:ascii="仿宋" w:hAnsi="仿宋" w:eastAsia="仿宋" w:cs="仿宋"/>
                <w:sz w:val="16"/>
                <w:szCs w:val="16"/>
              </w:rPr>
              <w:t>)</w:t>
            </w:r>
            <w:r>
              <w:rPr>
                <w:rFonts w:hint="eastAsia" w:ascii="仿宋" w:hAnsi="仿宋" w:eastAsia="仿宋" w:cs="仿宋"/>
                <w:sz w:val="16"/>
                <w:szCs w:val="16"/>
              </w:rPr>
              <w:t>》第三十条、第三十七条</w:t>
            </w:r>
          </w:p>
        </w:tc>
        <w:tc>
          <w:tcPr>
            <w:tcW w:w="1695" w:type="dxa"/>
            <w:vAlign w:val="center"/>
          </w:tcPr>
          <w:p>
            <w:pPr>
              <w:widowControl/>
              <w:spacing w:line="400" w:lineRule="exact"/>
              <w:textAlignment w:val="center"/>
              <w:rPr>
                <w:rFonts w:ascii="宋体" w:cs="宋体"/>
                <w:color w:val="000000"/>
                <w:kern w:val="0"/>
                <w:sz w:val="24"/>
              </w:rPr>
            </w:pPr>
          </w:p>
        </w:tc>
        <w:tc>
          <w:tcPr>
            <w:tcW w:w="1230" w:type="dxa"/>
            <w:vAlign w:val="center"/>
          </w:tcPr>
          <w:p>
            <w:pPr>
              <w:widowControl/>
              <w:spacing w:line="400" w:lineRule="exact"/>
              <w:textAlignment w:val="center"/>
              <w:rPr>
                <w:rFonts w:ascii="宋体" w:cs="宋体"/>
                <w:color w:val="000000"/>
                <w:kern w:val="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03" w:type="dxa"/>
            <w:vAlign w:val="center"/>
          </w:tcPr>
          <w:p>
            <w:pPr>
              <w:widowControl/>
              <w:spacing w:line="220" w:lineRule="exact"/>
              <w:textAlignment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16"/>
                <w:szCs w:val="16"/>
                <w:lang w:val="en-US" w:eastAsia="zh-CN"/>
              </w:rPr>
              <w:t>17</w:t>
            </w:r>
          </w:p>
        </w:tc>
        <w:tc>
          <w:tcPr>
            <w:tcW w:w="774" w:type="dxa"/>
            <w:vAlign w:val="center"/>
          </w:tcPr>
          <w:p>
            <w:pPr>
              <w:widowControl/>
              <w:spacing w:line="220" w:lineRule="exact"/>
              <w:textAlignment w:val="center"/>
              <w:rPr>
                <w:rFonts w:ascii="黑体" w:hAnsi="黑体" w:eastAsia="黑体" w:cs="仿宋"/>
              </w:rPr>
            </w:pPr>
            <w:r>
              <w:rPr>
                <w:rFonts w:hint="eastAsia" w:ascii="仿宋" w:hAnsi="仿宋" w:eastAsia="仿宋" w:cs="仿宋"/>
                <w:color w:val="000000"/>
                <w:kern w:val="0"/>
                <w:sz w:val="16"/>
                <w:szCs w:val="16"/>
              </w:rPr>
              <w:t>市场监管领域</w:t>
            </w:r>
          </w:p>
        </w:tc>
        <w:tc>
          <w:tcPr>
            <w:tcW w:w="2597" w:type="dxa"/>
            <w:vAlign w:val="center"/>
          </w:tcPr>
          <w:p>
            <w:pPr>
              <w:widowControl/>
              <w:snapToGrid w:val="0"/>
              <w:spacing w:line="220" w:lineRule="exact"/>
              <w:textAlignment w:val="center"/>
              <w:rPr>
                <w:rFonts w:ascii="黑体" w:hAnsi="黑体" w:eastAsia="黑体" w:cs="仿宋"/>
              </w:rPr>
            </w:pPr>
            <w:r>
              <w:rPr>
                <w:rFonts w:hint="eastAsia" w:ascii="仿宋" w:hAnsi="仿宋" w:eastAsia="仿宋" w:cs="仿宋"/>
                <w:sz w:val="16"/>
                <w:szCs w:val="16"/>
              </w:rPr>
              <w:t>合伙企业未依法办理变更登记的</w:t>
            </w:r>
          </w:p>
        </w:tc>
        <w:tc>
          <w:tcPr>
            <w:tcW w:w="3502" w:type="dxa"/>
            <w:vAlign w:val="center"/>
          </w:tcPr>
          <w:p>
            <w:pPr>
              <w:widowControl/>
              <w:snapToGrid w:val="0"/>
              <w:spacing w:line="220" w:lineRule="exact"/>
              <w:ind w:firstLine="320" w:firstLineChars="200"/>
              <w:textAlignment w:val="center"/>
              <w:rPr>
                <w:rFonts w:ascii="仿宋" w:hAnsi="仿宋" w:eastAsia="仿宋" w:cs="仿宋"/>
                <w:color w:val="000000"/>
                <w:kern w:val="0"/>
                <w:sz w:val="28"/>
                <w:szCs w:val="28"/>
              </w:rPr>
            </w:pPr>
            <w:r>
              <w:rPr>
                <w:rFonts w:hint="eastAsia" w:ascii="仿宋" w:hAnsi="仿宋" w:eastAsia="仿宋" w:cs="仿宋"/>
                <w:sz w:val="16"/>
                <w:szCs w:val="16"/>
              </w:rPr>
              <w:t>责令限期登记后及时登记的</w:t>
            </w:r>
          </w:p>
        </w:tc>
        <w:tc>
          <w:tcPr>
            <w:tcW w:w="4472" w:type="dxa"/>
            <w:vAlign w:val="center"/>
          </w:tcPr>
          <w:p>
            <w:pPr>
              <w:widowControl/>
              <w:snapToGrid w:val="0"/>
              <w:spacing w:line="220" w:lineRule="exact"/>
              <w:textAlignment w:val="center"/>
              <w:rPr>
                <w:rFonts w:hAnsi="Calibri"/>
                <w:sz w:val="24"/>
              </w:rPr>
            </w:pPr>
            <w:r>
              <w:rPr>
                <w:rFonts w:hint="eastAsia" w:ascii="仿宋" w:hAnsi="仿宋" w:eastAsia="仿宋" w:cs="仿宋"/>
                <w:sz w:val="16"/>
                <w:szCs w:val="16"/>
              </w:rPr>
              <w:t>《中华人民共和国合伙企业登记管理办法》第十八条、第三十九条</w:t>
            </w:r>
          </w:p>
        </w:tc>
        <w:tc>
          <w:tcPr>
            <w:tcW w:w="1695" w:type="dxa"/>
            <w:vAlign w:val="center"/>
          </w:tcPr>
          <w:p>
            <w:pPr>
              <w:widowControl/>
              <w:spacing w:line="400" w:lineRule="exact"/>
              <w:textAlignment w:val="center"/>
              <w:rPr>
                <w:rFonts w:ascii="宋体" w:cs="宋体"/>
                <w:color w:val="000000"/>
                <w:kern w:val="0"/>
                <w:sz w:val="24"/>
              </w:rPr>
            </w:pPr>
          </w:p>
        </w:tc>
        <w:tc>
          <w:tcPr>
            <w:tcW w:w="1230" w:type="dxa"/>
            <w:vAlign w:val="center"/>
          </w:tcPr>
          <w:p>
            <w:pPr>
              <w:widowControl/>
              <w:spacing w:line="400" w:lineRule="exact"/>
              <w:textAlignment w:val="center"/>
              <w:rPr>
                <w:rFonts w:ascii="宋体" w:cs="宋体"/>
                <w:color w:val="000000"/>
                <w:kern w:val="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03" w:type="dxa"/>
            <w:vAlign w:val="center"/>
          </w:tcPr>
          <w:p>
            <w:pPr>
              <w:widowControl/>
              <w:spacing w:line="220" w:lineRule="exact"/>
              <w:textAlignment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16"/>
                <w:szCs w:val="16"/>
                <w:lang w:val="en-US" w:eastAsia="zh-CN"/>
              </w:rPr>
              <w:t>18</w:t>
            </w:r>
          </w:p>
        </w:tc>
        <w:tc>
          <w:tcPr>
            <w:tcW w:w="774" w:type="dxa"/>
            <w:vAlign w:val="center"/>
          </w:tcPr>
          <w:p>
            <w:pPr>
              <w:widowControl/>
              <w:spacing w:line="220" w:lineRule="exact"/>
              <w:textAlignment w:val="center"/>
              <w:rPr>
                <w:rFonts w:ascii="黑体" w:hAnsi="黑体" w:eastAsia="黑体" w:cs="仿宋"/>
              </w:rPr>
            </w:pPr>
            <w:r>
              <w:rPr>
                <w:rFonts w:hint="eastAsia" w:ascii="仿宋" w:hAnsi="仿宋" w:eastAsia="仿宋" w:cs="仿宋"/>
                <w:color w:val="000000"/>
                <w:kern w:val="0"/>
                <w:sz w:val="16"/>
                <w:szCs w:val="16"/>
              </w:rPr>
              <w:t>市场监管领域</w:t>
            </w:r>
          </w:p>
        </w:tc>
        <w:tc>
          <w:tcPr>
            <w:tcW w:w="2597" w:type="dxa"/>
            <w:vAlign w:val="center"/>
          </w:tcPr>
          <w:p>
            <w:pPr>
              <w:widowControl/>
              <w:snapToGrid w:val="0"/>
              <w:spacing w:line="220" w:lineRule="exact"/>
              <w:textAlignment w:val="center"/>
              <w:rPr>
                <w:rFonts w:ascii="黑体" w:hAnsi="黑体" w:eastAsia="黑体" w:cs="仿宋"/>
              </w:rPr>
            </w:pPr>
            <w:r>
              <w:rPr>
                <w:rFonts w:hint="eastAsia" w:ascii="仿宋" w:hAnsi="仿宋" w:eastAsia="仿宋" w:cs="仿宋"/>
                <w:sz w:val="16"/>
                <w:szCs w:val="16"/>
              </w:rPr>
              <w:t>合伙企业未将营业执照正本置放在经营场所的醒目位置的</w:t>
            </w:r>
          </w:p>
        </w:tc>
        <w:tc>
          <w:tcPr>
            <w:tcW w:w="3502" w:type="dxa"/>
            <w:vAlign w:val="center"/>
          </w:tcPr>
          <w:p>
            <w:pPr>
              <w:widowControl/>
              <w:snapToGrid w:val="0"/>
              <w:spacing w:line="220" w:lineRule="exact"/>
              <w:ind w:firstLine="320" w:firstLineChars="200"/>
              <w:textAlignment w:val="center"/>
              <w:rPr>
                <w:rFonts w:ascii="仿宋" w:hAnsi="仿宋" w:eastAsia="仿宋" w:cs="仿宋"/>
                <w:color w:val="000000"/>
                <w:kern w:val="0"/>
                <w:sz w:val="28"/>
                <w:szCs w:val="28"/>
              </w:rPr>
            </w:pPr>
            <w:r>
              <w:rPr>
                <w:rFonts w:hint="eastAsia" w:ascii="仿宋" w:hAnsi="仿宋" w:eastAsia="仿宋" w:cs="仿宋"/>
                <w:sz w:val="16"/>
                <w:szCs w:val="16"/>
              </w:rPr>
              <w:t>责令改正后及时纠正的</w:t>
            </w:r>
          </w:p>
        </w:tc>
        <w:tc>
          <w:tcPr>
            <w:tcW w:w="4472" w:type="dxa"/>
            <w:vAlign w:val="center"/>
          </w:tcPr>
          <w:p>
            <w:pPr>
              <w:widowControl/>
              <w:snapToGrid w:val="0"/>
              <w:spacing w:line="220" w:lineRule="exact"/>
              <w:textAlignment w:val="center"/>
              <w:rPr>
                <w:rFonts w:hAnsi="Calibri"/>
                <w:sz w:val="24"/>
              </w:rPr>
            </w:pPr>
            <w:r>
              <w:rPr>
                <w:rFonts w:hint="eastAsia" w:ascii="仿宋" w:hAnsi="仿宋" w:eastAsia="仿宋" w:cs="仿宋"/>
                <w:sz w:val="16"/>
                <w:szCs w:val="16"/>
              </w:rPr>
              <w:t>《中华人民共和国合伙企业登记管理办法》第三十三条、第四十三条</w:t>
            </w:r>
          </w:p>
        </w:tc>
        <w:tc>
          <w:tcPr>
            <w:tcW w:w="1695" w:type="dxa"/>
            <w:vAlign w:val="center"/>
          </w:tcPr>
          <w:p>
            <w:pPr>
              <w:widowControl/>
              <w:spacing w:line="400" w:lineRule="exact"/>
              <w:textAlignment w:val="center"/>
              <w:rPr>
                <w:rFonts w:ascii="宋体" w:cs="宋体"/>
                <w:color w:val="000000"/>
                <w:kern w:val="0"/>
                <w:sz w:val="24"/>
              </w:rPr>
            </w:pPr>
          </w:p>
        </w:tc>
        <w:tc>
          <w:tcPr>
            <w:tcW w:w="1230" w:type="dxa"/>
            <w:vAlign w:val="center"/>
          </w:tcPr>
          <w:p>
            <w:pPr>
              <w:widowControl/>
              <w:spacing w:line="400" w:lineRule="exact"/>
              <w:textAlignment w:val="center"/>
              <w:rPr>
                <w:rFonts w:ascii="宋体" w:cs="宋体"/>
                <w:color w:val="000000"/>
                <w:kern w:val="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03" w:type="dxa"/>
            <w:vAlign w:val="center"/>
          </w:tcPr>
          <w:p>
            <w:pPr>
              <w:widowControl/>
              <w:spacing w:line="220" w:lineRule="exact"/>
              <w:textAlignment w:val="center"/>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16"/>
                <w:szCs w:val="16"/>
                <w:lang w:val="en-US" w:eastAsia="zh-CN"/>
              </w:rPr>
              <w:t>19</w:t>
            </w:r>
          </w:p>
        </w:tc>
        <w:tc>
          <w:tcPr>
            <w:tcW w:w="774" w:type="dxa"/>
            <w:vAlign w:val="center"/>
          </w:tcPr>
          <w:p>
            <w:pPr>
              <w:widowControl/>
              <w:spacing w:line="220" w:lineRule="exact"/>
              <w:textAlignment w:val="center"/>
              <w:rPr>
                <w:rFonts w:ascii="黑体" w:hAnsi="黑体" w:eastAsia="黑体" w:cs="仿宋"/>
              </w:rPr>
            </w:pPr>
            <w:r>
              <w:rPr>
                <w:rFonts w:hint="eastAsia" w:ascii="仿宋" w:hAnsi="仿宋" w:eastAsia="仿宋" w:cs="仿宋"/>
                <w:sz w:val="16"/>
                <w:szCs w:val="16"/>
              </w:rPr>
              <w:t>知识产权领域</w:t>
            </w:r>
          </w:p>
        </w:tc>
        <w:tc>
          <w:tcPr>
            <w:tcW w:w="2597" w:type="dxa"/>
            <w:vAlign w:val="center"/>
          </w:tcPr>
          <w:p>
            <w:pPr>
              <w:spacing w:line="220" w:lineRule="exact"/>
              <w:rPr>
                <w:rFonts w:ascii="黑体" w:hAnsi="黑体" w:eastAsia="黑体" w:cs="仿宋"/>
              </w:rPr>
            </w:pPr>
            <w:r>
              <w:rPr>
                <w:rFonts w:hint="eastAsia" w:ascii="仿宋" w:hAnsi="仿宋" w:eastAsia="仿宋" w:cs="仿宋"/>
                <w:w w:val="99"/>
                <w:kern w:val="0"/>
                <w:sz w:val="16"/>
                <w:szCs w:val="16"/>
              </w:rPr>
              <w:t>对专利代理机构违法行为的行政处罚</w:t>
            </w:r>
          </w:p>
        </w:tc>
        <w:tc>
          <w:tcPr>
            <w:tcW w:w="3502" w:type="dxa"/>
            <w:vAlign w:val="center"/>
          </w:tcPr>
          <w:p>
            <w:pPr>
              <w:spacing w:line="220" w:lineRule="exact"/>
              <w:rPr>
                <w:rFonts w:ascii="仿宋" w:hAnsi="仿宋" w:eastAsia="仿宋" w:cs="仿宋"/>
                <w:w w:val="99"/>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1</w:t>
            </w:r>
            <w:r>
              <w:rPr>
                <w:rFonts w:hint="eastAsia" w:ascii="仿宋" w:hAnsi="仿宋" w:eastAsia="仿宋" w:cs="仿宋"/>
                <w:w w:val="99"/>
                <w:kern w:val="0"/>
                <w:sz w:val="16"/>
                <w:szCs w:val="16"/>
              </w:rPr>
              <w:t>）因不可抗力或其他正当理由，导致</w:t>
            </w:r>
            <w:r>
              <w:rPr>
                <w:rFonts w:hint="eastAsia" w:ascii="仿宋" w:hAnsi="仿宋" w:eastAsia="仿宋" w:cs="仿宋"/>
                <w:w w:val="99"/>
                <w:sz w:val="16"/>
                <w:szCs w:val="16"/>
              </w:rPr>
              <w:t>合伙人、股东或者法定代表人等事项发生变化未办理变更手续，障碍消除后，及时办理变更手续的；</w:t>
            </w:r>
          </w:p>
          <w:p>
            <w:pPr>
              <w:spacing w:line="220" w:lineRule="exact"/>
              <w:rPr>
                <w:rFonts w:ascii="仿宋" w:hAnsi="仿宋" w:eastAsia="仿宋" w:cs="仿宋"/>
                <w:w w:val="99"/>
                <w:sz w:val="16"/>
                <w:szCs w:val="16"/>
              </w:rPr>
            </w:pPr>
            <w:r>
              <w:rPr>
                <w:rFonts w:hint="eastAsia" w:ascii="仿宋" w:hAnsi="仿宋" w:eastAsia="仿宋" w:cs="仿宋"/>
                <w:w w:val="99"/>
                <w:sz w:val="16"/>
                <w:szCs w:val="16"/>
              </w:rPr>
              <w:t>（</w:t>
            </w:r>
            <w:r>
              <w:rPr>
                <w:rFonts w:ascii="仿宋" w:hAnsi="仿宋" w:eastAsia="仿宋" w:cs="仿宋"/>
                <w:w w:val="99"/>
                <w:sz w:val="16"/>
                <w:szCs w:val="16"/>
              </w:rPr>
              <w:t>2</w:t>
            </w:r>
            <w:r>
              <w:rPr>
                <w:rFonts w:hint="eastAsia" w:ascii="仿宋" w:hAnsi="仿宋" w:eastAsia="仿宋" w:cs="仿宋"/>
                <w:w w:val="99"/>
                <w:sz w:val="16"/>
                <w:szCs w:val="16"/>
              </w:rPr>
              <w:t>）一般过失导致就同一专利申请或者专利权的事务接受有利益冲突的其他当事人的委托，发现不应接受委托后，及时终止委托行为，未给当事人造成损失的；</w:t>
            </w:r>
          </w:p>
          <w:p>
            <w:pPr>
              <w:spacing w:line="220" w:lineRule="exact"/>
              <w:rPr>
                <w:rFonts w:ascii="仿宋" w:hAnsi="仿宋" w:eastAsia="仿宋" w:cs="仿宋"/>
                <w:w w:val="99"/>
                <w:sz w:val="16"/>
                <w:szCs w:val="16"/>
              </w:rPr>
            </w:pPr>
            <w:r>
              <w:rPr>
                <w:rFonts w:hint="eastAsia" w:ascii="仿宋" w:hAnsi="仿宋" w:eastAsia="仿宋" w:cs="仿宋"/>
                <w:w w:val="99"/>
                <w:sz w:val="16"/>
                <w:szCs w:val="16"/>
              </w:rPr>
              <w:t>（</w:t>
            </w:r>
            <w:r>
              <w:rPr>
                <w:rFonts w:ascii="仿宋" w:hAnsi="仿宋" w:eastAsia="仿宋" w:cs="仿宋"/>
                <w:w w:val="99"/>
                <w:sz w:val="16"/>
                <w:szCs w:val="16"/>
              </w:rPr>
              <w:t>3</w:t>
            </w:r>
            <w:r>
              <w:rPr>
                <w:rFonts w:hint="eastAsia" w:ascii="仿宋" w:hAnsi="仿宋" w:eastAsia="仿宋" w:cs="仿宋"/>
                <w:w w:val="99"/>
                <w:sz w:val="16"/>
                <w:szCs w:val="16"/>
              </w:rPr>
              <w:t>）一般过失导致指派专利代理师承办与其近亲属有利益冲突的专利代理业务，发现不应指派专利代理师承办业务，及时终止专利代理师的专利代理业务，未给当事人造成损失的；</w:t>
            </w:r>
          </w:p>
          <w:p>
            <w:pPr>
              <w:spacing w:line="220" w:lineRule="exact"/>
              <w:rPr>
                <w:rFonts w:ascii="仿宋" w:hAnsi="仿宋" w:eastAsia="仿宋" w:cs="仿宋"/>
                <w:w w:val="99"/>
                <w:sz w:val="16"/>
                <w:szCs w:val="16"/>
              </w:rPr>
            </w:pPr>
            <w:r>
              <w:rPr>
                <w:rFonts w:hint="eastAsia" w:ascii="仿宋" w:hAnsi="仿宋" w:eastAsia="仿宋" w:cs="仿宋"/>
                <w:w w:val="99"/>
                <w:sz w:val="16"/>
                <w:szCs w:val="16"/>
              </w:rPr>
              <w:t>（</w:t>
            </w:r>
            <w:r>
              <w:rPr>
                <w:rFonts w:ascii="仿宋" w:hAnsi="仿宋" w:eastAsia="仿宋" w:cs="仿宋"/>
                <w:w w:val="99"/>
                <w:sz w:val="16"/>
                <w:szCs w:val="16"/>
              </w:rPr>
              <w:t>4</w:t>
            </w:r>
            <w:r>
              <w:rPr>
                <w:rFonts w:hint="eastAsia" w:ascii="仿宋" w:hAnsi="仿宋" w:eastAsia="仿宋" w:cs="仿宋"/>
                <w:w w:val="99"/>
                <w:sz w:val="16"/>
                <w:szCs w:val="16"/>
              </w:rPr>
              <w:t>）其他违法行为轻微并及时纠正，没有造成危害后果的；</w:t>
            </w:r>
          </w:p>
          <w:p>
            <w:pPr>
              <w:spacing w:line="220" w:lineRule="exact"/>
              <w:rPr>
                <w:rFonts w:ascii="仿宋" w:hAnsi="仿宋" w:eastAsia="仿宋" w:cs="仿宋"/>
                <w:w w:val="99"/>
                <w:sz w:val="16"/>
                <w:szCs w:val="16"/>
              </w:rPr>
            </w:pPr>
            <w:r>
              <w:rPr>
                <w:rFonts w:hint="eastAsia" w:ascii="仿宋" w:hAnsi="仿宋" w:eastAsia="仿宋" w:cs="仿宋"/>
                <w:w w:val="99"/>
                <w:sz w:val="16"/>
                <w:szCs w:val="16"/>
              </w:rPr>
              <w:t>（</w:t>
            </w:r>
            <w:r>
              <w:rPr>
                <w:rFonts w:ascii="仿宋" w:hAnsi="仿宋" w:eastAsia="仿宋" w:cs="仿宋"/>
                <w:w w:val="99"/>
                <w:sz w:val="16"/>
                <w:szCs w:val="16"/>
              </w:rPr>
              <w:t>5</w:t>
            </w:r>
            <w:r>
              <w:rPr>
                <w:rFonts w:hint="eastAsia" w:ascii="仿宋" w:hAnsi="仿宋" w:eastAsia="仿宋" w:cs="仿宋"/>
                <w:w w:val="99"/>
                <w:sz w:val="16"/>
                <w:szCs w:val="16"/>
              </w:rPr>
              <w:t>）初次违法且危害后果轻微并及时改正的，可以不予行政处罚的；</w:t>
            </w:r>
          </w:p>
          <w:p>
            <w:pPr>
              <w:spacing w:line="220" w:lineRule="exact"/>
              <w:rPr>
                <w:rFonts w:ascii="仿宋" w:hAnsi="仿宋" w:eastAsia="仿宋" w:cs="仿宋"/>
                <w:w w:val="99"/>
                <w:sz w:val="16"/>
                <w:szCs w:val="16"/>
              </w:rPr>
            </w:pPr>
            <w:r>
              <w:rPr>
                <w:rFonts w:hint="eastAsia" w:ascii="仿宋" w:hAnsi="仿宋" w:eastAsia="仿宋" w:cs="仿宋"/>
                <w:w w:val="99"/>
                <w:sz w:val="16"/>
                <w:szCs w:val="16"/>
              </w:rPr>
              <w:t>（</w:t>
            </w:r>
            <w:r>
              <w:rPr>
                <w:rFonts w:ascii="仿宋" w:hAnsi="仿宋" w:eastAsia="仿宋" w:cs="仿宋"/>
                <w:w w:val="99"/>
                <w:sz w:val="16"/>
                <w:szCs w:val="16"/>
              </w:rPr>
              <w:t>6</w:t>
            </w:r>
            <w:r>
              <w:rPr>
                <w:rFonts w:hint="eastAsia" w:ascii="仿宋" w:hAnsi="仿宋" w:eastAsia="仿宋" w:cs="仿宋"/>
                <w:w w:val="99"/>
                <w:sz w:val="16"/>
                <w:szCs w:val="16"/>
              </w:rPr>
              <w:t>）当事人有证据足以证明没有主观过错的；</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7</w:t>
            </w:r>
            <w:r>
              <w:rPr>
                <w:rFonts w:hint="eastAsia" w:ascii="仿宋" w:hAnsi="仿宋" w:eastAsia="仿宋" w:cs="仿宋"/>
                <w:w w:val="99"/>
                <w:kern w:val="0"/>
                <w:sz w:val="16"/>
                <w:szCs w:val="16"/>
              </w:rPr>
              <w:t>）违法行为在二年内未被发现的；</w:t>
            </w:r>
          </w:p>
          <w:p>
            <w:pPr>
              <w:pStyle w:val="3"/>
              <w:spacing w:before="72" w:line="220" w:lineRule="exact"/>
              <w:ind w:right="278"/>
              <w:jc w:val="both"/>
              <w:rPr>
                <w:rFonts w:ascii="仿宋" w:hAnsi="仿宋" w:eastAsia="仿宋" w:cs="仿宋"/>
                <w:w w:val="99"/>
                <w:sz w:val="16"/>
                <w:szCs w:val="16"/>
              </w:rPr>
            </w:pPr>
            <w:r>
              <w:rPr>
                <w:rFonts w:hint="eastAsia" w:ascii="仿宋" w:hAnsi="仿宋" w:eastAsia="仿宋" w:cs="仿宋"/>
                <w:w w:val="99"/>
                <w:sz w:val="16"/>
                <w:szCs w:val="16"/>
              </w:rPr>
              <w:t>（</w:t>
            </w:r>
            <w:r>
              <w:rPr>
                <w:rFonts w:ascii="仿宋" w:hAnsi="仿宋" w:eastAsia="仿宋" w:cs="仿宋"/>
                <w:w w:val="99"/>
                <w:sz w:val="16"/>
                <w:szCs w:val="16"/>
              </w:rPr>
              <w:t>8</w:t>
            </w:r>
            <w:r>
              <w:rPr>
                <w:rFonts w:hint="eastAsia" w:ascii="仿宋" w:hAnsi="仿宋" w:eastAsia="仿宋" w:cs="仿宋"/>
                <w:w w:val="99"/>
                <w:sz w:val="16"/>
                <w:szCs w:val="16"/>
              </w:rPr>
              <w:t>）其他依法应当不予行政处罚的。</w:t>
            </w:r>
          </w:p>
        </w:tc>
        <w:tc>
          <w:tcPr>
            <w:tcW w:w="4472" w:type="dxa"/>
            <w:vAlign w:val="center"/>
          </w:tcPr>
          <w:p>
            <w:pPr>
              <w:pStyle w:val="3"/>
              <w:spacing w:before="72" w:line="220" w:lineRule="exact"/>
              <w:ind w:right="278"/>
              <w:jc w:val="both"/>
              <w:rPr>
                <w:rFonts w:ascii="仿宋" w:hAnsi="仿宋" w:eastAsia="仿宋" w:cs="仿宋"/>
                <w:w w:val="99"/>
                <w:sz w:val="16"/>
                <w:szCs w:val="16"/>
              </w:rPr>
            </w:pPr>
            <w:r>
              <w:rPr>
                <w:rFonts w:hint="eastAsia" w:ascii="仿宋" w:hAnsi="仿宋" w:eastAsia="仿宋" w:cs="仿宋"/>
                <w:w w:val="99"/>
                <w:sz w:val="16"/>
                <w:szCs w:val="16"/>
              </w:rPr>
              <w:t>《专利代理条例》第</w:t>
            </w:r>
            <w:r>
              <w:rPr>
                <w:rFonts w:ascii="仿宋" w:hAnsi="仿宋" w:eastAsia="仿宋" w:cs="仿宋"/>
                <w:w w:val="99"/>
                <w:sz w:val="16"/>
                <w:szCs w:val="16"/>
              </w:rPr>
              <w:t xml:space="preserve"> 25 </w:t>
            </w:r>
            <w:r>
              <w:rPr>
                <w:rFonts w:hint="eastAsia" w:ascii="仿宋" w:hAnsi="仿宋" w:eastAsia="仿宋" w:cs="仿宋"/>
                <w:w w:val="99"/>
                <w:sz w:val="16"/>
                <w:szCs w:val="16"/>
              </w:rPr>
              <w:t>条：专利代理机构有下列行为之一的，由省、自治区、直辖市人民政府管理专利工作的部门责令限期改正，予以警告，可以处</w:t>
            </w:r>
            <w:r>
              <w:rPr>
                <w:rFonts w:ascii="仿宋" w:hAnsi="仿宋" w:eastAsia="仿宋" w:cs="仿宋"/>
                <w:w w:val="99"/>
                <w:sz w:val="16"/>
                <w:szCs w:val="16"/>
              </w:rPr>
              <w:t xml:space="preserve"> 10 </w:t>
            </w:r>
            <w:r>
              <w:rPr>
                <w:rFonts w:hint="eastAsia" w:ascii="仿宋" w:hAnsi="仿宋" w:eastAsia="仿宋" w:cs="仿宋"/>
                <w:w w:val="99"/>
                <w:sz w:val="16"/>
                <w:szCs w:val="16"/>
              </w:rPr>
              <w:t>万元以下的罚款；情节严重或者逾期未改正的，由国务院专利行政部门责令停止承接新的专利代理业务</w:t>
            </w:r>
            <w:r>
              <w:rPr>
                <w:rFonts w:ascii="仿宋" w:hAnsi="仿宋" w:eastAsia="仿宋" w:cs="仿宋"/>
                <w:w w:val="99"/>
                <w:sz w:val="16"/>
                <w:szCs w:val="16"/>
              </w:rPr>
              <w:t xml:space="preserve"> 6 </w:t>
            </w:r>
            <w:r>
              <w:rPr>
                <w:rFonts w:hint="eastAsia" w:ascii="仿宋" w:hAnsi="仿宋" w:eastAsia="仿宋" w:cs="仿宋"/>
                <w:w w:val="99"/>
                <w:sz w:val="16"/>
                <w:szCs w:val="16"/>
              </w:rPr>
              <w:t>个月至</w:t>
            </w:r>
            <w:r>
              <w:rPr>
                <w:rFonts w:ascii="仿宋" w:hAnsi="仿宋" w:eastAsia="仿宋" w:cs="仿宋"/>
                <w:w w:val="99"/>
                <w:sz w:val="16"/>
                <w:szCs w:val="16"/>
              </w:rPr>
              <w:t xml:space="preserve"> 12 </w:t>
            </w:r>
            <w:r>
              <w:rPr>
                <w:rFonts w:hint="eastAsia" w:ascii="仿宋" w:hAnsi="仿宋" w:eastAsia="仿宋" w:cs="仿宋"/>
                <w:w w:val="99"/>
                <w:sz w:val="16"/>
                <w:szCs w:val="16"/>
              </w:rPr>
              <w:t>个月，直至吊销专利代理机构执业许可证：</w:t>
            </w:r>
            <w:r>
              <w:rPr>
                <w:rFonts w:ascii="仿宋" w:hAnsi="仿宋" w:eastAsia="仿宋" w:cs="仿宋"/>
                <w:w w:val="99"/>
                <w:sz w:val="16"/>
                <w:szCs w:val="16"/>
              </w:rPr>
              <w:t xml:space="preserve"> </w:t>
            </w:r>
          </w:p>
          <w:p>
            <w:pPr>
              <w:pStyle w:val="3"/>
              <w:spacing w:line="220" w:lineRule="exact"/>
              <w:ind w:right="235"/>
              <w:jc w:val="both"/>
              <w:rPr>
                <w:rFonts w:ascii="仿宋" w:hAnsi="仿宋" w:eastAsia="仿宋" w:cs="仿宋"/>
                <w:w w:val="99"/>
                <w:sz w:val="16"/>
                <w:szCs w:val="16"/>
              </w:rPr>
            </w:pPr>
            <w:r>
              <w:rPr>
                <w:rFonts w:hint="eastAsia" w:ascii="仿宋" w:hAnsi="仿宋" w:eastAsia="仿宋" w:cs="仿宋"/>
                <w:w w:val="99"/>
                <w:sz w:val="16"/>
                <w:szCs w:val="16"/>
              </w:rPr>
              <w:t>（一）合伙人、股东或者法定代表人等事项发生变化未办理变更手续；</w:t>
            </w:r>
            <w:r>
              <w:rPr>
                <w:rFonts w:ascii="仿宋" w:hAnsi="仿宋" w:eastAsia="仿宋" w:cs="仿宋"/>
                <w:w w:val="99"/>
                <w:sz w:val="16"/>
                <w:szCs w:val="16"/>
              </w:rPr>
              <w:t xml:space="preserve"> </w:t>
            </w:r>
          </w:p>
          <w:p>
            <w:pPr>
              <w:pStyle w:val="3"/>
              <w:spacing w:line="220" w:lineRule="exact"/>
              <w:ind w:right="279"/>
              <w:jc w:val="both"/>
              <w:rPr>
                <w:rFonts w:ascii="仿宋" w:hAnsi="仿宋" w:eastAsia="仿宋" w:cs="仿宋"/>
                <w:w w:val="99"/>
                <w:sz w:val="16"/>
                <w:szCs w:val="16"/>
              </w:rPr>
            </w:pPr>
            <w:r>
              <w:rPr>
                <w:rFonts w:hint="eastAsia" w:ascii="仿宋" w:hAnsi="仿宋" w:eastAsia="仿宋" w:cs="仿宋"/>
                <w:w w:val="99"/>
                <w:sz w:val="16"/>
                <w:szCs w:val="16"/>
              </w:rPr>
              <w:t>（二）就同一专利申请或者专利权的事务接受有利益冲突的其他当事人的委托；</w:t>
            </w:r>
            <w:r>
              <w:rPr>
                <w:rFonts w:ascii="仿宋" w:hAnsi="仿宋" w:eastAsia="仿宋" w:cs="仿宋"/>
                <w:w w:val="99"/>
                <w:sz w:val="16"/>
                <w:szCs w:val="16"/>
              </w:rPr>
              <w:t xml:space="preserve"> </w:t>
            </w:r>
          </w:p>
          <w:p>
            <w:pPr>
              <w:pStyle w:val="3"/>
              <w:spacing w:line="220" w:lineRule="exact"/>
              <w:ind w:right="279"/>
              <w:jc w:val="both"/>
              <w:rPr>
                <w:rFonts w:ascii="仿宋" w:hAnsi="仿宋" w:eastAsia="仿宋" w:cs="仿宋"/>
                <w:w w:val="99"/>
                <w:sz w:val="16"/>
                <w:szCs w:val="16"/>
              </w:rPr>
            </w:pPr>
            <w:r>
              <w:rPr>
                <w:rFonts w:hint="eastAsia" w:ascii="仿宋" w:hAnsi="仿宋" w:eastAsia="仿宋" w:cs="仿宋"/>
                <w:w w:val="99"/>
                <w:sz w:val="16"/>
                <w:szCs w:val="16"/>
              </w:rPr>
              <w:t>（三）指派专利代理师承办与其本人或者其近亲属有利益冲突的专利代理业务；</w:t>
            </w:r>
          </w:p>
          <w:p>
            <w:pPr>
              <w:pStyle w:val="3"/>
              <w:spacing w:line="220" w:lineRule="exact"/>
              <w:ind w:right="279"/>
              <w:jc w:val="both"/>
              <w:rPr>
                <w:rFonts w:ascii="仿宋" w:hAnsi="仿宋" w:eastAsia="仿宋" w:cs="仿宋"/>
                <w:w w:val="99"/>
                <w:sz w:val="16"/>
                <w:szCs w:val="16"/>
              </w:rPr>
            </w:pPr>
            <w:r>
              <w:rPr>
                <w:rFonts w:hint="eastAsia" w:ascii="仿宋" w:hAnsi="仿宋" w:eastAsia="仿宋" w:cs="仿宋"/>
                <w:w w:val="99"/>
                <w:sz w:val="16"/>
                <w:szCs w:val="16"/>
              </w:rPr>
              <w:t>（四）泄露委托人的发明创造内容，或者以自己的名义申请专利或请求宣告专利权无效；</w:t>
            </w:r>
            <w:r>
              <w:rPr>
                <w:rFonts w:ascii="仿宋" w:hAnsi="仿宋" w:eastAsia="仿宋" w:cs="仿宋"/>
                <w:w w:val="99"/>
                <w:sz w:val="16"/>
                <w:szCs w:val="16"/>
              </w:rPr>
              <w:t xml:space="preserve"> </w:t>
            </w:r>
          </w:p>
          <w:p>
            <w:pPr>
              <w:spacing w:line="220" w:lineRule="exact"/>
              <w:rPr>
                <w:rFonts w:hAnsi="Calibri"/>
                <w:sz w:val="24"/>
              </w:rPr>
            </w:pPr>
            <w:r>
              <w:rPr>
                <w:rFonts w:hint="eastAsia" w:ascii="仿宋" w:hAnsi="仿宋" w:eastAsia="仿宋" w:cs="仿宋"/>
                <w:w w:val="99"/>
                <w:sz w:val="16"/>
                <w:szCs w:val="16"/>
              </w:rPr>
              <w:t>（五）疏于管理，造成严重后果。</w:t>
            </w:r>
          </w:p>
        </w:tc>
        <w:tc>
          <w:tcPr>
            <w:tcW w:w="1695" w:type="dxa"/>
            <w:vAlign w:val="center"/>
          </w:tcPr>
          <w:p>
            <w:pPr>
              <w:widowControl/>
              <w:spacing w:line="400" w:lineRule="exact"/>
              <w:textAlignment w:val="center"/>
              <w:rPr>
                <w:rFonts w:ascii="宋体" w:cs="宋体"/>
                <w:color w:val="000000"/>
                <w:kern w:val="0"/>
                <w:sz w:val="24"/>
              </w:rPr>
            </w:pPr>
          </w:p>
        </w:tc>
        <w:tc>
          <w:tcPr>
            <w:tcW w:w="1230" w:type="dxa"/>
            <w:vAlign w:val="center"/>
          </w:tcPr>
          <w:p>
            <w:pPr>
              <w:widowControl/>
              <w:spacing w:line="400" w:lineRule="exact"/>
              <w:textAlignment w:val="center"/>
              <w:rPr>
                <w:rFonts w:ascii="宋体" w:cs="宋体"/>
                <w:color w:val="000000"/>
                <w:kern w:val="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03" w:type="dxa"/>
            <w:vAlign w:val="center"/>
          </w:tcPr>
          <w:p>
            <w:pPr>
              <w:spacing w:line="220" w:lineRule="exact"/>
              <w:rPr>
                <w:rFonts w:hint="default" w:ascii="仿宋" w:hAnsi="仿宋" w:eastAsia="仿宋" w:cs="仿宋"/>
                <w:color w:val="000000"/>
                <w:kern w:val="0"/>
                <w:sz w:val="28"/>
                <w:szCs w:val="28"/>
                <w:lang w:val="en-US" w:eastAsia="zh-CN"/>
              </w:rPr>
            </w:pPr>
            <w:r>
              <w:rPr>
                <w:rFonts w:hint="eastAsia" w:ascii="仿宋" w:hAnsi="仿宋" w:eastAsia="仿宋" w:cs="仿宋"/>
                <w:color w:val="000000"/>
                <w:kern w:val="0"/>
                <w:sz w:val="16"/>
                <w:szCs w:val="16"/>
                <w:lang w:val="en-US" w:eastAsia="zh-CN"/>
              </w:rPr>
              <w:t>20</w:t>
            </w:r>
          </w:p>
        </w:tc>
        <w:tc>
          <w:tcPr>
            <w:tcW w:w="774" w:type="dxa"/>
            <w:vAlign w:val="center"/>
          </w:tcPr>
          <w:p>
            <w:pPr>
              <w:widowControl/>
              <w:spacing w:line="220" w:lineRule="exact"/>
              <w:textAlignment w:val="center"/>
              <w:rPr>
                <w:rFonts w:ascii="黑体" w:hAnsi="黑体" w:eastAsia="黑体" w:cs="仿宋"/>
              </w:rPr>
            </w:pPr>
            <w:r>
              <w:rPr>
                <w:rFonts w:hint="eastAsia" w:ascii="仿宋" w:hAnsi="仿宋" w:eastAsia="仿宋" w:cs="仿宋"/>
                <w:sz w:val="16"/>
                <w:szCs w:val="16"/>
              </w:rPr>
              <w:t>知识产权领域</w:t>
            </w:r>
          </w:p>
        </w:tc>
        <w:tc>
          <w:tcPr>
            <w:tcW w:w="2597" w:type="dxa"/>
            <w:vAlign w:val="center"/>
          </w:tcPr>
          <w:p>
            <w:pPr>
              <w:spacing w:line="220" w:lineRule="exact"/>
              <w:rPr>
                <w:rFonts w:ascii="黑体" w:hAnsi="黑体" w:eastAsia="黑体" w:cs="仿宋"/>
              </w:rPr>
            </w:pPr>
            <w:r>
              <w:rPr>
                <w:rFonts w:hint="eastAsia" w:ascii="仿宋" w:hAnsi="仿宋" w:eastAsia="仿宋" w:cs="仿宋"/>
                <w:w w:val="99"/>
                <w:kern w:val="0"/>
                <w:sz w:val="16"/>
                <w:szCs w:val="16"/>
              </w:rPr>
              <w:t>对专利代理师违法行为的行政处罚</w:t>
            </w:r>
          </w:p>
        </w:tc>
        <w:tc>
          <w:tcPr>
            <w:tcW w:w="3502" w:type="dxa"/>
            <w:vAlign w:val="center"/>
          </w:tcPr>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1</w:t>
            </w:r>
            <w:r>
              <w:rPr>
                <w:rFonts w:hint="eastAsia" w:ascii="仿宋" w:hAnsi="仿宋" w:eastAsia="仿宋" w:cs="仿宋"/>
                <w:w w:val="99"/>
                <w:kern w:val="0"/>
                <w:sz w:val="16"/>
                <w:szCs w:val="16"/>
              </w:rPr>
              <w:t>）因不可抗力或其他正当理由，导致未依照条例规定进行备案，障碍消除后，及时办理备案的；</w:t>
            </w:r>
          </w:p>
          <w:p>
            <w:pPr>
              <w:spacing w:line="220" w:lineRule="exact"/>
              <w:rPr>
                <w:rFonts w:ascii="仿宋" w:hAnsi="仿宋" w:eastAsia="仿宋" w:cs="仿宋"/>
                <w:w w:val="99"/>
                <w:sz w:val="16"/>
                <w:szCs w:val="16"/>
              </w:rPr>
            </w:pPr>
            <w:r>
              <w:rPr>
                <w:rFonts w:hint="eastAsia" w:ascii="仿宋" w:hAnsi="仿宋" w:eastAsia="仿宋" w:cs="仿宋"/>
                <w:w w:val="99"/>
                <w:sz w:val="16"/>
                <w:szCs w:val="16"/>
              </w:rPr>
              <w:t>（</w:t>
            </w:r>
            <w:r>
              <w:rPr>
                <w:rFonts w:ascii="仿宋" w:hAnsi="仿宋" w:eastAsia="仿宋" w:cs="仿宋"/>
                <w:w w:val="99"/>
                <w:sz w:val="16"/>
                <w:szCs w:val="16"/>
              </w:rPr>
              <w:t>2</w:t>
            </w:r>
            <w:r>
              <w:rPr>
                <w:rFonts w:hint="eastAsia" w:ascii="仿宋" w:hAnsi="仿宋" w:eastAsia="仿宋" w:cs="仿宋"/>
                <w:w w:val="99"/>
                <w:sz w:val="16"/>
                <w:szCs w:val="16"/>
              </w:rPr>
              <w:t>）其他违法行为轻微并及时纠正，没有造成危害后果的；</w:t>
            </w:r>
          </w:p>
          <w:p>
            <w:pPr>
              <w:spacing w:line="220" w:lineRule="exact"/>
              <w:rPr>
                <w:rFonts w:ascii="仿宋" w:hAnsi="仿宋" w:eastAsia="仿宋" w:cs="仿宋"/>
                <w:w w:val="99"/>
                <w:sz w:val="16"/>
                <w:szCs w:val="16"/>
              </w:rPr>
            </w:pPr>
            <w:r>
              <w:rPr>
                <w:rFonts w:hint="eastAsia" w:ascii="仿宋" w:hAnsi="仿宋" w:eastAsia="仿宋" w:cs="仿宋"/>
                <w:w w:val="99"/>
                <w:sz w:val="16"/>
                <w:szCs w:val="16"/>
              </w:rPr>
              <w:t>（</w:t>
            </w:r>
            <w:r>
              <w:rPr>
                <w:rFonts w:ascii="仿宋" w:hAnsi="仿宋" w:eastAsia="仿宋" w:cs="仿宋"/>
                <w:w w:val="99"/>
                <w:sz w:val="16"/>
                <w:szCs w:val="16"/>
              </w:rPr>
              <w:t>3</w:t>
            </w:r>
            <w:r>
              <w:rPr>
                <w:rFonts w:hint="eastAsia" w:ascii="仿宋" w:hAnsi="仿宋" w:eastAsia="仿宋" w:cs="仿宋"/>
                <w:w w:val="99"/>
                <w:sz w:val="16"/>
                <w:szCs w:val="16"/>
              </w:rPr>
              <w:t>）初次违法且危害后果轻微并及时改正的，可以不予行政处罚的；</w:t>
            </w:r>
          </w:p>
          <w:p>
            <w:pPr>
              <w:spacing w:line="220" w:lineRule="exact"/>
              <w:rPr>
                <w:rFonts w:ascii="仿宋" w:hAnsi="仿宋" w:eastAsia="仿宋" w:cs="仿宋"/>
                <w:w w:val="99"/>
                <w:sz w:val="16"/>
                <w:szCs w:val="16"/>
              </w:rPr>
            </w:pPr>
            <w:r>
              <w:rPr>
                <w:rFonts w:hint="eastAsia" w:ascii="仿宋" w:hAnsi="仿宋" w:eastAsia="仿宋" w:cs="仿宋"/>
                <w:w w:val="99"/>
                <w:sz w:val="16"/>
                <w:szCs w:val="16"/>
              </w:rPr>
              <w:t>（</w:t>
            </w:r>
            <w:r>
              <w:rPr>
                <w:rFonts w:ascii="仿宋" w:hAnsi="仿宋" w:eastAsia="仿宋" w:cs="仿宋"/>
                <w:w w:val="99"/>
                <w:sz w:val="16"/>
                <w:szCs w:val="16"/>
              </w:rPr>
              <w:t>4</w:t>
            </w:r>
            <w:r>
              <w:rPr>
                <w:rFonts w:hint="eastAsia" w:ascii="仿宋" w:hAnsi="仿宋" w:eastAsia="仿宋" w:cs="仿宋"/>
                <w:w w:val="99"/>
                <w:sz w:val="16"/>
                <w:szCs w:val="16"/>
              </w:rPr>
              <w:t>）当事人有证据足以证明没有主观过错的；</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5</w:t>
            </w:r>
            <w:r>
              <w:rPr>
                <w:rFonts w:hint="eastAsia" w:ascii="仿宋" w:hAnsi="仿宋" w:eastAsia="仿宋" w:cs="仿宋"/>
                <w:w w:val="99"/>
                <w:kern w:val="0"/>
                <w:sz w:val="16"/>
                <w:szCs w:val="16"/>
              </w:rPr>
              <w:t>）违法行为在二年内未被发现的；</w:t>
            </w:r>
          </w:p>
          <w:p>
            <w:pPr>
              <w:pStyle w:val="3"/>
              <w:spacing w:before="72" w:line="220" w:lineRule="exact"/>
              <w:ind w:right="278"/>
              <w:jc w:val="both"/>
              <w:rPr>
                <w:rFonts w:ascii="仿宋" w:hAnsi="仿宋" w:eastAsia="仿宋" w:cs="仿宋"/>
                <w:color w:val="000000"/>
                <w:sz w:val="28"/>
                <w:szCs w:val="28"/>
              </w:rPr>
            </w:pPr>
            <w:r>
              <w:rPr>
                <w:rFonts w:hint="eastAsia" w:ascii="仿宋" w:hAnsi="仿宋" w:eastAsia="仿宋" w:cs="仿宋"/>
                <w:w w:val="99"/>
                <w:sz w:val="16"/>
                <w:szCs w:val="16"/>
              </w:rPr>
              <w:t>（</w:t>
            </w:r>
            <w:r>
              <w:rPr>
                <w:rFonts w:ascii="仿宋" w:hAnsi="仿宋" w:eastAsia="仿宋" w:cs="仿宋"/>
                <w:w w:val="99"/>
                <w:sz w:val="16"/>
                <w:szCs w:val="16"/>
              </w:rPr>
              <w:t>6</w:t>
            </w:r>
            <w:r>
              <w:rPr>
                <w:rFonts w:hint="eastAsia" w:ascii="仿宋" w:hAnsi="仿宋" w:eastAsia="仿宋" w:cs="仿宋"/>
                <w:w w:val="99"/>
                <w:sz w:val="16"/>
                <w:szCs w:val="16"/>
              </w:rPr>
              <w:t>）其他依法应当不予行政处罚的。</w:t>
            </w:r>
          </w:p>
        </w:tc>
        <w:tc>
          <w:tcPr>
            <w:tcW w:w="4472" w:type="dxa"/>
            <w:vAlign w:val="center"/>
          </w:tcPr>
          <w:p>
            <w:pPr>
              <w:pStyle w:val="3"/>
              <w:spacing w:before="72" w:line="220" w:lineRule="exact"/>
              <w:ind w:right="278"/>
              <w:jc w:val="both"/>
              <w:rPr>
                <w:rFonts w:ascii="仿宋" w:hAnsi="仿宋" w:eastAsia="仿宋" w:cs="仿宋"/>
                <w:w w:val="99"/>
                <w:sz w:val="16"/>
                <w:szCs w:val="16"/>
              </w:rPr>
            </w:pPr>
            <w:r>
              <w:rPr>
                <w:rFonts w:hint="eastAsia" w:ascii="仿宋" w:hAnsi="仿宋" w:eastAsia="仿宋" w:cs="仿宋"/>
                <w:w w:val="99"/>
                <w:sz w:val="16"/>
                <w:szCs w:val="16"/>
              </w:rPr>
              <w:t>《专利代理条例》第</w:t>
            </w:r>
            <w:r>
              <w:rPr>
                <w:rFonts w:ascii="仿宋" w:hAnsi="仿宋" w:eastAsia="仿宋" w:cs="仿宋"/>
                <w:w w:val="99"/>
                <w:sz w:val="16"/>
                <w:szCs w:val="16"/>
              </w:rPr>
              <w:t xml:space="preserve"> 26 </w:t>
            </w:r>
            <w:r>
              <w:rPr>
                <w:rFonts w:hint="eastAsia" w:ascii="仿宋" w:hAnsi="仿宋" w:eastAsia="仿宋" w:cs="仿宋"/>
                <w:w w:val="99"/>
                <w:sz w:val="16"/>
                <w:szCs w:val="16"/>
              </w:rPr>
              <w:t>条：专利代理师有下列行为之一的，由省、自治区、直辖市人民政府管理专利工作的部门责令限期改正，予以警告，可以处</w:t>
            </w:r>
            <w:r>
              <w:rPr>
                <w:rFonts w:ascii="仿宋" w:hAnsi="仿宋" w:eastAsia="仿宋" w:cs="仿宋"/>
                <w:w w:val="99"/>
                <w:sz w:val="16"/>
                <w:szCs w:val="16"/>
              </w:rPr>
              <w:t>5</w:t>
            </w:r>
            <w:r>
              <w:rPr>
                <w:rFonts w:hint="eastAsia" w:ascii="仿宋" w:hAnsi="仿宋" w:eastAsia="仿宋" w:cs="仿宋"/>
                <w:w w:val="99"/>
                <w:sz w:val="16"/>
                <w:szCs w:val="16"/>
              </w:rPr>
              <w:t>万元以下的罚款；情节严重或者逾期未改正的，由国务院专利行政部门责令停止承办新的专利代理业务</w:t>
            </w:r>
            <w:r>
              <w:rPr>
                <w:rFonts w:ascii="仿宋" w:hAnsi="仿宋" w:eastAsia="仿宋" w:cs="仿宋"/>
                <w:w w:val="99"/>
                <w:sz w:val="16"/>
                <w:szCs w:val="16"/>
              </w:rPr>
              <w:t>6</w:t>
            </w:r>
            <w:r>
              <w:rPr>
                <w:rFonts w:hint="eastAsia" w:ascii="仿宋" w:hAnsi="仿宋" w:eastAsia="仿宋" w:cs="仿宋"/>
                <w:w w:val="99"/>
                <w:sz w:val="16"/>
                <w:szCs w:val="16"/>
              </w:rPr>
              <w:t>个月至</w:t>
            </w:r>
            <w:r>
              <w:rPr>
                <w:rFonts w:ascii="仿宋" w:hAnsi="仿宋" w:eastAsia="仿宋" w:cs="仿宋"/>
                <w:w w:val="99"/>
                <w:sz w:val="16"/>
                <w:szCs w:val="16"/>
              </w:rPr>
              <w:t>12</w:t>
            </w:r>
            <w:r>
              <w:rPr>
                <w:rFonts w:hint="eastAsia" w:ascii="仿宋" w:hAnsi="仿宋" w:eastAsia="仿宋" w:cs="仿宋"/>
                <w:w w:val="99"/>
                <w:sz w:val="16"/>
                <w:szCs w:val="16"/>
              </w:rPr>
              <w:t>个月，直至吊销专利代理师资格证：</w:t>
            </w:r>
          </w:p>
          <w:p>
            <w:pPr>
              <w:pStyle w:val="3"/>
              <w:spacing w:before="72" w:line="220" w:lineRule="exact"/>
              <w:ind w:right="278"/>
              <w:jc w:val="both"/>
              <w:rPr>
                <w:rFonts w:ascii="仿宋" w:hAnsi="仿宋" w:eastAsia="仿宋" w:cs="仿宋"/>
                <w:w w:val="99"/>
                <w:sz w:val="16"/>
                <w:szCs w:val="16"/>
              </w:rPr>
            </w:pPr>
            <w:r>
              <w:rPr>
                <w:rFonts w:hint="eastAsia" w:ascii="仿宋" w:hAnsi="仿宋" w:eastAsia="仿宋" w:cs="仿宋"/>
                <w:w w:val="99"/>
                <w:sz w:val="16"/>
                <w:szCs w:val="16"/>
              </w:rPr>
              <w:t>（一）未依照本条例规定进行备案；</w:t>
            </w:r>
          </w:p>
          <w:p>
            <w:pPr>
              <w:pStyle w:val="3"/>
              <w:spacing w:before="72" w:line="220" w:lineRule="exact"/>
              <w:ind w:right="278"/>
              <w:jc w:val="both"/>
              <w:rPr>
                <w:rFonts w:ascii="仿宋" w:hAnsi="仿宋" w:eastAsia="仿宋" w:cs="仿宋"/>
                <w:w w:val="99"/>
                <w:sz w:val="16"/>
                <w:szCs w:val="16"/>
              </w:rPr>
            </w:pPr>
            <w:r>
              <w:rPr>
                <w:rFonts w:hint="eastAsia" w:ascii="仿宋" w:hAnsi="仿宋" w:eastAsia="仿宋" w:cs="仿宋"/>
                <w:w w:val="99"/>
                <w:sz w:val="16"/>
                <w:szCs w:val="16"/>
              </w:rPr>
              <w:t>（二）自行接受委托办理专利代理业务；</w:t>
            </w:r>
          </w:p>
          <w:p>
            <w:pPr>
              <w:pStyle w:val="3"/>
              <w:spacing w:before="72" w:line="220" w:lineRule="exact"/>
              <w:ind w:right="278"/>
              <w:jc w:val="both"/>
              <w:rPr>
                <w:rFonts w:ascii="仿宋" w:hAnsi="仿宋" w:eastAsia="仿宋" w:cs="仿宋"/>
                <w:w w:val="99"/>
                <w:sz w:val="16"/>
                <w:szCs w:val="16"/>
              </w:rPr>
            </w:pPr>
            <w:r>
              <w:rPr>
                <w:rFonts w:hint="eastAsia" w:ascii="仿宋" w:hAnsi="仿宋" w:eastAsia="仿宋" w:cs="仿宋"/>
                <w:w w:val="99"/>
                <w:sz w:val="16"/>
                <w:szCs w:val="16"/>
              </w:rPr>
              <w:t>（三）同时在两个以上专利代理机构从事专利代理业务；</w:t>
            </w:r>
          </w:p>
          <w:p>
            <w:pPr>
              <w:pStyle w:val="3"/>
              <w:spacing w:before="72" w:line="220" w:lineRule="exact"/>
              <w:ind w:right="278"/>
              <w:jc w:val="both"/>
              <w:rPr>
                <w:rFonts w:ascii="仿宋" w:hAnsi="仿宋" w:eastAsia="仿宋" w:cs="仿宋"/>
                <w:w w:val="99"/>
                <w:sz w:val="16"/>
                <w:szCs w:val="16"/>
              </w:rPr>
            </w:pPr>
            <w:r>
              <w:rPr>
                <w:rFonts w:hint="eastAsia" w:ascii="仿宋" w:hAnsi="仿宋" w:eastAsia="仿宋" w:cs="仿宋"/>
                <w:w w:val="99"/>
                <w:sz w:val="16"/>
                <w:szCs w:val="16"/>
              </w:rPr>
              <w:t>（四）违反本条例规定对其审查、审理或者处理过的专利申请或专利案件进行代理；</w:t>
            </w:r>
          </w:p>
          <w:p>
            <w:pPr>
              <w:pStyle w:val="3"/>
              <w:spacing w:before="72" w:line="220" w:lineRule="exact"/>
              <w:ind w:right="278"/>
              <w:jc w:val="both"/>
              <w:rPr>
                <w:rFonts w:ascii="仿宋" w:hAnsi="仿宋" w:eastAsia="仿宋" w:cs="仿宋"/>
                <w:w w:val="99"/>
                <w:sz w:val="16"/>
                <w:szCs w:val="16"/>
              </w:rPr>
            </w:pPr>
            <w:r>
              <w:rPr>
                <w:rFonts w:hint="eastAsia" w:ascii="仿宋" w:hAnsi="仿宋" w:eastAsia="仿宋" w:cs="仿宋"/>
                <w:w w:val="99"/>
                <w:sz w:val="16"/>
                <w:szCs w:val="16"/>
              </w:rPr>
              <w:t>（五）泄露委托人的发明创造内容，或者以自己的名义申请专利或请求宣告专利权无效。</w:t>
            </w:r>
          </w:p>
        </w:tc>
        <w:tc>
          <w:tcPr>
            <w:tcW w:w="1695" w:type="dxa"/>
            <w:vAlign w:val="center"/>
          </w:tcPr>
          <w:p>
            <w:pPr>
              <w:widowControl/>
              <w:spacing w:line="400" w:lineRule="exact"/>
              <w:textAlignment w:val="center"/>
              <w:rPr>
                <w:rFonts w:ascii="仿宋" w:hAnsi="仿宋" w:eastAsia="仿宋" w:cs="仿宋"/>
                <w:w w:val="99"/>
                <w:kern w:val="0"/>
                <w:sz w:val="16"/>
                <w:szCs w:val="16"/>
              </w:rPr>
            </w:pPr>
          </w:p>
        </w:tc>
        <w:tc>
          <w:tcPr>
            <w:tcW w:w="1230" w:type="dxa"/>
            <w:vAlign w:val="center"/>
          </w:tcPr>
          <w:p>
            <w:pPr>
              <w:widowControl/>
              <w:spacing w:line="400" w:lineRule="exact"/>
              <w:textAlignment w:val="center"/>
              <w:rPr>
                <w:rFonts w:ascii="宋体" w:cs="宋体"/>
                <w:color w:val="000000"/>
                <w:kern w:val="0"/>
                <w:sz w:val="24"/>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503" w:type="dxa"/>
            <w:vAlign w:val="center"/>
          </w:tcPr>
          <w:p>
            <w:pPr>
              <w:pStyle w:val="2"/>
              <w:spacing w:line="220" w:lineRule="exact"/>
              <w:rPr>
                <w:rFonts w:hint="default" w:ascii="仿宋" w:hAnsi="仿宋" w:eastAsia="仿宋" w:cs="仿宋"/>
                <w:color w:val="000000"/>
                <w:kern w:val="0"/>
                <w:sz w:val="28"/>
                <w:szCs w:val="28"/>
                <w:lang w:val="en-US" w:eastAsia="zh-CN"/>
              </w:rPr>
            </w:pPr>
            <w:r>
              <w:rPr>
                <w:rFonts w:hint="eastAsia" w:ascii="仿宋" w:hAnsi="仿宋" w:eastAsia="仿宋" w:cs="仿宋"/>
                <w:b w:val="0"/>
                <w:bCs/>
                <w:sz w:val="16"/>
                <w:szCs w:val="16"/>
                <w:lang w:val="en-US" w:eastAsia="zh-CN"/>
              </w:rPr>
              <w:t>21</w:t>
            </w:r>
          </w:p>
        </w:tc>
        <w:tc>
          <w:tcPr>
            <w:tcW w:w="774" w:type="dxa"/>
            <w:vAlign w:val="center"/>
          </w:tcPr>
          <w:p>
            <w:pPr>
              <w:widowControl/>
              <w:spacing w:line="220" w:lineRule="exact"/>
              <w:textAlignment w:val="center"/>
              <w:rPr>
                <w:rFonts w:ascii="仿宋" w:hAnsi="仿宋" w:eastAsia="仿宋" w:cs="仿宋"/>
                <w:color w:val="000000"/>
                <w:kern w:val="0"/>
                <w:sz w:val="16"/>
                <w:szCs w:val="16"/>
              </w:rPr>
            </w:pPr>
            <w:r>
              <w:rPr>
                <w:rFonts w:hint="eastAsia" w:ascii="仿宋" w:hAnsi="仿宋" w:eastAsia="仿宋" w:cs="仿宋"/>
                <w:sz w:val="16"/>
                <w:szCs w:val="16"/>
              </w:rPr>
              <w:t>知识产权领域</w:t>
            </w:r>
          </w:p>
        </w:tc>
        <w:tc>
          <w:tcPr>
            <w:tcW w:w="2597" w:type="dxa"/>
            <w:vAlign w:val="center"/>
          </w:tcPr>
          <w:p>
            <w:pPr>
              <w:spacing w:line="220" w:lineRule="exact"/>
              <w:rPr>
                <w:rFonts w:ascii="黑体" w:hAnsi="黑体" w:eastAsia="黑体" w:cs="仿宋"/>
              </w:rPr>
            </w:pPr>
            <w:r>
              <w:rPr>
                <w:rFonts w:hint="eastAsia" w:ascii="仿宋" w:hAnsi="仿宋" w:eastAsia="仿宋" w:cs="仿宋"/>
                <w:w w:val="99"/>
                <w:kern w:val="0"/>
                <w:sz w:val="16"/>
                <w:szCs w:val="16"/>
              </w:rPr>
              <w:t>对擅自开展专利代理业务行为的行政处罚</w:t>
            </w:r>
          </w:p>
        </w:tc>
        <w:tc>
          <w:tcPr>
            <w:tcW w:w="3502" w:type="dxa"/>
            <w:vAlign w:val="center"/>
          </w:tcPr>
          <w:p>
            <w:pPr>
              <w:spacing w:line="220" w:lineRule="exact"/>
              <w:rPr>
                <w:rFonts w:ascii="仿宋" w:hAnsi="仿宋" w:eastAsia="仿宋" w:cs="仿宋"/>
                <w:w w:val="99"/>
                <w:sz w:val="16"/>
                <w:szCs w:val="16"/>
              </w:rPr>
            </w:pPr>
            <w:r>
              <w:rPr>
                <w:rFonts w:hint="eastAsia" w:ascii="仿宋" w:hAnsi="仿宋" w:eastAsia="仿宋" w:cs="仿宋"/>
                <w:w w:val="99"/>
                <w:sz w:val="16"/>
                <w:szCs w:val="16"/>
              </w:rPr>
              <w:t>（</w:t>
            </w:r>
            <w:r>
              <w:rPr>
                <w:rFonts w:ascii="仿宋" w:hAnsi="仿宋" w:eastAsia="仿宋" w:cs="仿宋"/>
                <w:w w:val="99"/>
                <w:sz w:val="16"/>
                <w:szCs w:val="16"/>
              </w:rPr>
              <w:t>1</w:t>
            </w:r>
            <w:r>
              <w:rPr>
                <w:rFonts w:hint="eastAsia" w:ascii="仿宋" w:hAnsi="仿宋" w:eastAsia="仿宋" w:cs="仿宋"/>
                <w:w w:val="99"/>
                <w:sz w:val="16"/>
                <w:szCs w:val="16"/>
              </w:rPr>
              <w:t>）违法行为轻微并及时纠正，没有造成危害后果的；</w:t>
            </w:r>
          </w:p>
          <w:p>
            <w:pPr>
              <w:spacing w:line="220" w:lineRule="exact"/>
              <w:rPr>
                <w:rFonts w:ascii="仿宋" w:hAnsi="仿宋" w:eastAsia="仿宋" w:cs="仿宋"/>
                <w:w w:val="99"/>
                <w:sz w:val="16"/>
                <w:szCs w:val="16"/>
              </w:rPr>
            </w:pPr>
            <w:r>
              <w:rPr>
                <w:rFonts w:hint="eastAsia" w:ascii="仿宋" w:hAnsi="仿宋" w:eastAsia="仿宋" w:cs="仿宋"/>
                <w:w w:val="99"/>
                <w:sz w:val="16"/>
                <w:szCs w:val="16"/>
              </w:rPr>
              <w:t>（</w:t>
            </w:r>
            <w:r>
              <w:rPr>
                <w:rFonts w:ascii="仿宋" w:hAnsi="仿宋" w:eastAsia="仿宋" w:cs="仿宋"/>
                <w:w w:val="99"/>
                <w:sz w:val="16"/>
                <w:szCs w:val="16"/>
              </w:rPr>
              <w:t>2</w:t>
            </w:r>
            <w:r>
              <w:rPr>
                <w:rFonts w:hint="eastAsia" w:ascii="仿宋" w:hAnsi="仿宋" w:eastAsia="仿宋" w:cs="仿宋"/>
                <w:w w:val="99"/>
                <w:sz w:val="16"/>
                <w:szCs w:val="16"/>
              </w:rPr>
              <w:t>）初次违法且危害后果轻微并及时改正的，可以不予行政处罚的；</w:t>
            </w:r>
          </w:p>
          <w:p>
            <w:pPr>
              <w:spacing w:line="220" w:lineRule="exact"/>
              <w:rPr>
                <w:rFonts w:ascii="仿宋" w:hAnsi="仿宋" w:eastAsia="仿宋" w:cs="仿宋"/>
                <w:w w:val="99"/>
                <w:sz w:val="16"/>
                <w:szCs w:val="16"/>
              </w:rPr>
            </w:pPr>
            <w:r>
              <w:rPr>
                <w:rFonts w:hint="eastAsia" w:ascii="仿宋" w:hAnsi="仿宋" w:eastAsia="仿宋" w:cs="仿宋"/>
                <w:w w:val="99"/>
                <w:sz w:val="16"/>
                <w:szCs w:val="16"/>
              </w:rPr>
              <w:t>（</w:t>
            </w:r>
            <w:r>
              <w:rPr>
                <w:rFonts w:ascii="仿宋" w:hAnsi="仿宋" w:eastAsia="仿宋" w:cs="仿宋"/>
                <w:w w:val="99"/>
                <w:sz w:val="16"/>
                <w:szCs w:val="16"/>
              </w:rPr>
              <w:t>3</w:t>
            </w:r>
            <w:r>
              <w:rPr>
                <w:rFonts w:hint="eastAsia" w:ascii="仿宋" w:hAnsi="仿宋" w:eastAsia="仿宋" w:cs="仿宋"/>
                <w:w w:val="99"/>
                <w:sz w:val="16"/>
                <w:szCs w:val="16"/>
              </w:rPr>
              <w:t>）当事人有证据足以证明没有主观过错的；</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4</w:t>
            </w:r>
            <w:r>
              <w:rPr>
                <w:rFonts w:hint="eastAsia" w:ascii="仿宋" w:hAnsi="仿宋" w:eastAsia="仿宋" w:cs="仿宋"/>
                <w:w w:val="99"/>
                <w:kern w:val="0"/>
                <w:sz w:val="16"/>
                <w:szCs w:val="16"/>
              </w:rPr>
              <w:t>）违法行为在二年内未被发现的；</w:t>
            </w:r>
          </w:p>
          <w:p>
            <w:pPr>
              <w:spacing w:line="220" w:lineRule="exact"/>
              <w:rPr>
                <w:rFonts w:ascii="仿宋" w:hAnsi="仿宋" w:eastAsia="仿宋" w:cs="仿宋"/>
                <w:color w:val="000000"/>
                <w:kern w:val="0"/>
                <w:sz w:val="28"/>
                <w:szCs w:val="28"/>
              </w:rPr>
            </w:pPr>
            <w:r>
              <w:rPr>
                <w:rFonts w:hint="eastAsia" w:ascii="仿宋" w:hAnsi="仿宋" w:eastAsia="仿宋" w:cs="仿宋"/>
                <w:w w:val="99"/>
                <w:sz w:val="16"/>
                <w:szCs w:val="16"/>
              </w:rPr>
              <w:t>（</w:t>
            </w:r>
            <w:r>
              <w:rPr>
                <w:rFonts w:ascii="仿宋" w:hAnsi="仿宋" w:eastAsia="仿宋" w:cs="仿宋"/>
                <w:w w:val="99"/>
                <w:sz w:val="16"/>
                <w:szCs w:val="16"/>
              </w:rPr>
              <w:t>5</w:t>
            </w:r>
            <w:r>
              <w:rPr>
                <w:rFonts w:hint="eastAsia" w:ascii="仿宋" w:hAnsi="仿宋" w:eastAsia="仿宋" w:cs="仿宋"/>
                <w:w w:val="99"/>
                <w:sz w:val="16"/>
                <w:szCs w:val="16"/>
              </w:rPr>
              <w:t>）其他依法应当不予行政处罚的。</w:t>
            </w:r>
          </w:p>
        </w:tc>
        <w:tc>
          <w:tcPr>
            <w:tcW w:w="4472" w:type="dxa"/>
            <w:vAlign w:val="center"/>
          </w:tcPr>
          <w:p>
            <w:pPr>
              <w:pStyle w:val="3"/>
              <w:spacing w:before="72" w:line="220" w:lineRule="exact"/>
              <w:ind w:right="278"/>
              <w:jc w:val="both"/>
              <w:rPr>
                <w:rFonts w:ascii="仿宋" w:hAnsi="仿宋" w:eastAsia="仿宋" w:cs="仿宋"/>
                <w:w w:val="99"/>
                <w:sz w:val="16"/>
                <w:szCs w:val="16"/>
              </w:rPr>
            </w:pPr>
            <w:r>
              <w:rPr>
                <w:rFonts w:hint="eastAsia" w:ascii="仿宋" w:hAnsi="仿宋" w:eastAsia="仿宋" w:cs="仿宋"/>
                <w:w w:val="99"/>
                <w:sz w:val="16"/>
                <w:szCs w:val="16"/>
              </w:rPr>
              <w:t>《专利代理条例》第</w:t>
            </w:r>
            <w:r>
              <w:rPr>
                <w:rFonts w:ascii="仿宋" w:hAnsi="仿宋" w:eastAsia="仿宋" w:cs="仿宋"/>
                <w:w w:val="99"/>
                <w:sz w:val="16"/>
                <w:szCs w:val="16"/>
              </w:rPr>
              <w:t xml:space="preserve"> 27 </w:t>
            </w:r>
            <w:r>
              <w:rPr>
                <w:rFonts w:hint="eastAsia" w:ascii="仿宋" w:hAnsi="仿宋" w:eastAsia="仿宋" w:cs="仿宋"/>
                <w:w w:val="99"/>
                <w:sz w:val="16"/>
                <w:szCs w:val="16"/>
              </w:rPr>
              <w:t>条：违反本条例规定擅自开展专利代理业务的，由省、自治区、直辖市人民政府管理专利工作的部门责令停止违法行为，没收违法所得，并处违法所得</w:t>
            </w:r>
            <w:r>
              <w:rPr>
                <w:rFonts w:ascii="仿宋" w:hAnsi="仿宋" w:eastAsia="仿宋" w:cs="仿宋"/>
                <w:w w:val="99"/>
                <w:sz w:val="16"/>
                <w:szCs w:val="16"/>
              </w:rPr>
              <w:t>1</w:t>
            </w:r>
            <w:r>
              <w:rPr>
                <w:rFonts w:hint="eastAsia" w:ascii="仿宋" w:hAnsi="仿宋" w:eastAsia="仿宋" w:cs="仿宋"/>
                <w:w w:val="99"/>
                <w:sz w:val="16"/>
                <w:szCs w:val="16"/>
              </w:rPr>
              <w:t>倍以上</w:t>
            </w:r>
            <w:r>
              <w:rPr>
                <w:rFonts w:ascii="仿宋" w:hAnsi="仿宋" w:eastAsia="仿宋" w:cs="仿宋"/>
                <w:w w:val="99"/>
                <w:sz w:val="16"/>
                <w:szCs w:val="16"/>
              </w:rPr>
              <w:t>5</w:t>
            </w:r>
            <w:r>
              <w:rPr>
                <w:rFonts w:hint="eastAsia" w:ascii="仿宋" w:hAnsi="仿宋" w:eastAsia="仿宋" w:cs="仿宋"/>
                <w:w w:val="99"/>
                <w:sz w:val="16"/>
                <w:szCs w:val="16"/>
              </w:rPr>
              <w:t>倍以下的罚款。</w:t>
            </w:r>
          </w:p>
          <w:p>
            <w:pPr>
              <w:spacing w:line="220" w:lineRule="exact"/>
              <w:rPr>
                <w:rFonts w:hAnsi="Calibri"/>
                <w:sz w:val="24"/>
              </w:rPr>
            </w:pPr>
          </w:p>
        </w:tc>
        <w:tc>
          <w:tcPr>
            <w:tcW w:w="1695" w:type="dxa"/>
            <w:vAlign w:val="center"/>
          </w:tcPr>
          <w:p>
            <w:pPr>
              <w:widowControl/>
              <w:spacing w:line="400" w:lineRule="exact"/>
              <w:textAlignment w:val="center"/>
              <w:rPr>
                <w:rFonts w:ascii="宋体" w:cs="宋体"/>
                <w:color w:val="000000"/>
                <w:kern w:val="0"/>
                <w:sz w:val="24"/>
              </w:rPr>
            </w:pPr>
          </w:p>
        </w:tc>
        <w:tc>
          <w:tcPr>
            <w:tcW w:w="1230" w:type="dxa"/>
            <w:vAlign w:val="center"/>
          </w:tcPr>
          <w:p>
            <w:pPr>
              <w:widowControl/>
              <w:spacing w:line="400" w:lineRule="exact"/>
              <w:textAlignment w:val="center"/>
              <w:rPr>
                <w:rFonts w:ascii="宋体" w:cs="宋体"/>
                <w:color w:val="000000"/>
                <w:kern w:val="0"/>
                <w:sz w:val="24"/>
              </w:rPr>
            </w:pPr>
            <w:r>
              <w:rPr>
                <w:rFonts w:hint="eastAsia" w:ascii="仿宋" w:hAnsi="仿宋" w:eastAsia="仿宋" w:cs="仿宋"/>
                <w:w w:val="99"/>
                <w:sz w:val="16"/>
                <w:szCs w:val="16"/>
              </w:rPr>
              <w:t>市、县（市）区</w:t>
            </w:r>
            <w:bookmarkStart w:id="0" w:name="_GoBack"/>
            <w:bookmarkEnd w:id="0"/>
          </w:p>
        </w:tc>
      </w:tr>
    </w:tbl>
    <w:p>
      <w:pPr>
        <w:spacing w:line="560" w:lineRule="exact"/>
        <w:rPr>
          <w:rFonts w:ascii="黑体" w:hAnsi="黑体" w:eastAsia="黑体" w:cs="黑体"/>
          <w:sz w:val="32"/>
          <w:szCs w:val="32"/>
        </w:rPr>
      </w:pPr>
    </w:p>
    <w:p/>
    <w:p>
      <w:pPr>
        <w:spacing w:line="560" w:lineRule="exact"/>
        <w:jc w:val="center"/>
        <w:rPr>
          <w:rFonts w:ascii="宋体" w:cs="宋体"/>
          <w:b/>
          <w:bCs/>
          <w:sz w:val="44"/>
          <w:szCs w:val="44"/>
        </w:rPr>
      </w:pPr>
      <w:r>
        <w:rPr>
          <w:rFonts w:hint="eastAsia" w:ascii="宋体" w:hAnsi="宋体" w:cs="宋体"/>
          <w:sz w:val="44"/>
          <w:szCs w:val="44"/>
        </w:rPr>
        <w:t>佳木斯市市场监督管理局不予行政处罚事项清单（地市清单</w:t>
      </w:r>
      <w:r>
        <w:rPr>
          <w:rFonts w:ascii="宋体" w:hAnsi="宋体" w:cs="宋体"/>
          <w:sz w:val="44"/>
          <w:szCs w:val="44"/>
        </w:rPr>
        <w:t>12</w:t>
      </w:r>
      <w:r>
        <w:rPr>
          <w:rFonts w:hint="eastAsia" w:ascii="宋体" w:hAnsi="宋体" w:cs="宋体"/>
          <w:sz w:val="44"/>
          <w:szCs w:val="44"/>
        </w:rPr>
        <w:t>方面）</w:t>
      </w:r>
    </w:p>
    <w:p>
      <w:pPr>
        <w:spacing w:line="240" w:lineRule="exact"/>
        <w:rPr>
          <w:rFonts w:ascii="仿宋_GB2312" w:hAnsi="宋体" w:eastAsia="仿宋_GB2312"/>
          <w:sz w:val="28"/>
          <w:szCs w:val="28"/>
        </w:rPr>
      </w:pPr>
    </w:p>
    <w:tbl>
      <w:tblPr>
        <w:tblStyle w:val="7"/>
        <w:tblW w:w="14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920"/>
        <w:gridCol w:w="2451"/>
        <w:gridCol w:w="3502"/>
        <w:gridCol w:w="4457"/>
        <w:gridCol w:w="1740"/>
        <w:gridCol w:w="1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spacing w:line="400" w:lineRule="exact"/>
              <w:jc w:val="center"/>
              <w:textAlignment w:val="center"/>
              <w:rPr>
                <w:rFonts w:ascii="黑体" w:hAnsi="宋体" w:eastAsia="黑体" w:cs="黑体"/>
                <w:color w:val="000000"/>
                <w:sz w:val="24"/>
              </w:rPr>
            </w:pPr>
            <w:r>
              <w:rPr>
                <w:rFonts w:hint="eastAsia" w:ascii="黑体" w:hAnsi="宋体" w:eastAsia="黑体" w:cs="黑体"/>
                <w:color w:val="000000"/>
                <w:sz w:val="24"/>
              </w:rPr>
              <w:t>序号</w:t>
            </w:r>
          </w:p>
        </w:tc>
        <w:tc>
          <w:tcPr>
            <w:tcW w:w="920" w:type="dxa"/>
            <w:vAlign w:val="center"/>
          </w:tcPr>
          <w:p>
            <w:pPr>
              <w:widowControl/>
              <w:spacing w:line="400" w:lineRule="exact"/>
              <w:jc w:val="center"/>
              <w:textAlignment w:val="center"/>
              <w:rPr>
                <w:rFonts w:ascii="黑体" w:hAnsi="宋体" w:eastAsia="黑体" w:cs="黑体"/>
                <w:color w:val="000000"/>
                <w:sz w:val="24"/>
              </w:rPr>
            </w:pPr>
            <w:r>
              <w:rPr>
                <w:rFonts w:hint="eastAsia" w:ascii="黑体" w:hAnsi="宋体" w:eastAsia="黑体" w:cs="黑体"/>
                <w:color w:val="000000"/>
                <w:sz w:val="24"/>
              </w:rPr>
              <w:t>管理领域</w:t>
            </w:r>
          </w:p>
        </w:tc>
        <w:tc>
          <w:tcPr>
            <w:tcW w:w="2451" w:type="dxa"/>
            <w:vAlign w:val="center"/>
          </w:tcPr>
          <w:p>
            <w:pPr>
              <w:widowControl/>
              <w:spacing w:line="400" w:lineRule="exact"/>
              <w:ind w:firstLine="240" w:firstLineChars="100"/>
              <w:jc w:val="center"/>
              <w:textAlignment w:val="center"/>
              <w:rPr>
                <w:rFonts w:ascii="黑体" w:hAnsi="宋体" w:eastAsia="黑体" w:cs="黑体"/>
                <w:color w:val="000000"/>
                <w:sz w:val="24"/>
              </w:rPr>
            </w:pPr>
            <w:r>
              <w:rPr>
                <w:rFonts w:hint="eastAsia" w:ascii="黑体" w:hAnsi="宋体" w:eastAsia="黑体" w:cs="黑体"/>
                <w:color w:val="000000"/>
                <w:sz w:val="24"/>
              </w:rPr>
              <w:t>不予行政处罚事项</w:t>
            </w:r>
          </w:p>
        </w:tc>
        <w:tc>
          <w:tcPr>
            <w:tcW w:w="3502"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480" w:firstLineChars="200"/>
              <w:jc w:val="center"/>
              <w:textAlignment w:val="center"/>
              <w:rPr>
                <w:rFonts w:ascii="黑体" w:hAnsi="宋体" w:eastAsia="黑体" w:cs="黑体"/>
                <w:color w:val="000000"/>
                <w:sz w:val="24"/>
              </w:rPr>
            </w:pPr>
            <w:r>
              <w:rPr>
                <w:rFonts w:hint="eastAsia" w:ascii="黑体" w:hAnsi="宋体" w:eastAsia="黑体" w:cs="黑体"/>
                <w:color w:val="000000"/>
                <w:sz w:val="24"/>
              </w:rPr>
              <w:t>不予行政处罚的情形</w:t>
            </w:r>
          </w:p>
        </w:tc>
        <w:tc>
          <w:tcPr>
            <w:tcW w:w="4457"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240" w:firstLineChars="100"/>
              <w:textAlignment w:val="center"/>
              <w:rPr>
                <w:rFonts w:ascii="黑体" w:hAnsi="宋体" w:eastAsia="黑体" w:cs="黑体"/>
                <w:color w:val="000000"/>
                <w:sz w:val="24"/>
              </w:rPr>
            </w:pPr>
            <w:r>
              <w:rPr>
                <w:rFonts w:hint="eastAsia" w:ascii="黑体" w:hAnsi="宋体" w:eastAsia="黑体" w:cs="黑体"/>
                <w:color w:val="000000"/>
                <w:sz w:val="24"/>
              </w:rPr>
              <w:t>不予行政处罚的依据</w:t>
            </w:r>
          </w:p>
        </w:tc>
        <w:tc>
          <w:tcPr>
            <w:tcW w:w="1740"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r>
              <w:rPr>
                <w:rFonts w:hint="eastAsia" w:ascii="黑体" w:hAnsi="宋体" w:eastAsia="黑体" w:cs="黑体"/>
                <w:color w:val="000000"/>
                <w:sz w:val="24"/>
              </w:rPr>
              <w:t>配套监管措施</w:t>
            </w:r>
          </w:p>
        </w:tc>
        <w:tc>
          <w:tcPr>
            <w:tcW w:w="129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textAlignment w:val="center"/>
              <w:rPr>
                <w:rFonts w:ascii="黑体" w:hAnsi="宋体" w:eastAsia="黑体" w:cs="黑体"/>
                <w:color w:val="000000"/>
                <w:sz w:val="24"/>
              </w:rPr>
            </w:pPr>
            <w:r>
              <w:rPr>
                <w:rFonts w:hint="eastAsia" w:ascii="黑体" w:hAnsi="宋体" w:eastAsia="黑体" w:cs="黑体"/>
                <w:color w:val="000000"/>
                <w:sz w:val="24"/>
              </w:rPr>
              <w:t>权力层级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numPr>
                <w:ilvl w:val="0"/>
                <w:numId w:val="1"/>
              </w:numPr>
              <w:spacing w:line="220" w:lineRule="exact"/>
              <w:jc w:val="center"/>
              <w:textAlignment w:val="center"/>
              <w:rPr>
                <w:rFonts w:ascii="黑体" w:hAnsi="宋体" w:eastAsia="黑体" w:cs="黑体"/>
                <w:color w:val="000000"/>
                <w:sz w:val="24"/>
              </w:rPr>
            </w:pPr>
          </w:p>
        </w:tc>
        <w:tc>
          <w:tcPr>
            <w:tcW w:w="920"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市场监管</w:t>
            </w:r>
          </w:p>
        </w:tc>
        <w:tc>
          <w:tcPr>
            <w:tcW w:w="2451"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商事主体登记管理方面</w:t>
            </w:r>
          </w:p>
        </w:tc>
        <w:tc>
          <w:tcPr>
            <w:tcW w:w="3502" w:type="dxa"/>
            <w:tcBorders>
              <w:top w:val="single" w:color="000000" w:sz="4" w:space="0"/>
              <w:left w:val="single" w:color="000000" w:sz="4" w:space="0"/>
              <w:bottom w:val="single" w:color="000000" w:sz="4" w:space="0"/>
              <w:right w:val="single" w:color="000000" w:sz="4" w:space="0"/>
            </w:tcBorders>
            <w:vAlign w:val="center"/>
          </w:tcPr>
          <w:p>
            <w:pPr>
              <w:spacing w:line="220" w:lineRule="exact"/>
              <w:jc w:val="center"/>
              <w:rPr>
                <w:rFonts w:ascii="仿宋" w:hAnsi="仿宋" w:eastAsia="仿宋" w:cs="仿宋"/>
                <w:w w:val="99"/>
                <w:kern w:val="0"/>
                <w:sz w:val="16"/>
                <w:szCs w:val="16"/>
              </w:rPr>
            </w:pPr>
          </w:p>
        </w:tc>
        <w:tc>
          <w:tcPr>
            <w:tcW w:w="4457"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r>
              <w:rPr>
                <w:rFonts w:ascii="仿宋" w:hAnsi="仿宋" w:eastAsia="仿宋" w:cs="仿宋"/>
                <w:w w:val="99"/>
                <w:kern w:val="0"/>
                <w:sz w:val="16"/>
                <w:szCs w:val="16"/>
              </w:rPr>
              <w:t>1.</w:t>
            </w:r>
            <w:r>
              <w:rPr>
                <w:rFonts w:hint="eastAsia" w:ascii="仿宋" w:hAnsi="仿宋" w:eastAsia="仿宋" w:cs="仿宋"/>
                <w:w w:val="99"/>
                <w:kern w:val="0"/>
                <w:sz w:val="16"/>
                <w:szCs w:val="16"/>
              </w:rPr>
              <w:t>违反《中华人民共和国公司登记管理条例》</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1</w:t>
            </w:r>
            <w:r>
              <w:rPr>
                <w:rFonts w:hint="eastAsia" w:ascii="仿宋" w:hAnsi="仿宋" w:eastAsia="仿宋" w:cs="仿宋"/>
                <w:w w:val="99"/>
                <w:kern w:val="0"/>
                <w:sz w:val="16"/>
                <w:szCs w:val="16"/>
              </w:rPr>
              <w:t>）第二十九条</w:t>
            </w:r>
            <w:r>
              <w:rPr>
                <w:rFonts w:ascii="仿宋" w:hAnsi="仿宋" w:eastAsia="仿宋" w:cs="仿宋"/>
                <w:w w:val="99"/>
                <w:kern w:val="0"/>
                <w:sz w:val="16"/>
                <w:szCs w:val="16"/>
              </w:rPr>
              <w:t>,</w:t>
            </w:r>
            <w:r>
              <w:rPr>
                <w:rFonts w:hint="eastAsia" w:ascii="仿宋" w:hAnsi="仿宋" w:eastAsia="仿宋" w:cs="仿宋"/>
                <w:w w:val="99"/>
                <w:kern w:val="0"/>
                <w:sz w:val="16"/>
                <w:szCs w:val="16"/>
              </w:rPr>
              <w:t>公司未依法办理住所变更登记</w:t>
            </w:r>
            <w:r>
              <w:rPr>
                <w:rFonts w:ascii="仿宋" w:hAnsi="仿宋" w:eastAsia="仿宋" w:cs="仿宋"/>
                <w:w w:val="99"/>
                <w:kern w:val="0"/>
                <w:sz w:val="16"/>
                <w:szCs w:val="16"/>
              </w:rPr>
              <w:t>,</w:t>
            </w:r>
            <w:r>
              <w:rPr>
                <w:rFonts w:hint="eastAsia" w:ascii="仿宋" w:hAnsi="仿宋" w:eastAsia="仿宋" w:cs="仿宋"/>
                <w:w w:val="99"/>
                <w:kern w:val="0"/>
                <w:sz w:val="16"/>
                <w:szCs w:val="16"/>
              </w:rPr>
              <w:t>责令限期登记后及时登记的</w:t>
            </w:r>
            <w:r>
              <w:rPr>
                <w:rFonts w:ascii="仿宋" w:hAnsi="仿宋" w:eastAsia="仿宋" w:cs="仿宋"/>
                <w:w w:val="99"/>
                <w:kern w:val="0"/>
                <w:sz w:val="16"/>
                <w:szCs w:val="16"/>
              </w:rPr>
              <w:t>;</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2</w:t>
            </w:r>
            <w:r>
              <w:rPr>
                <w:rFonts w:hint="eastAsia" w:ascii="仿宋" w:hAnsi="仿宋" w:eastAsia="仿宋" w:cs="仿宋"/>
                <w:w w:val="99"/>
                <w:kern w:val="0"/>
                <w:sz w:val="16"/>
                <w:szCs w:val="16"/>
              </w:rPr>
              <w:t>）第三十二条</w:t>
            </w:r>
            <w:r>
              <w:rPr>
                <w:rFonts w:ascii="仿宋" w:hAnsi="仿宋" w:eastAsia="仿宋" w:cs="仿宋"/>
                <w:w w:val="99"/>
                <w:kern w:val="0"/>
                <w:sz w:val="16"/>
                <w:szCs w:val="16"/>
              </w:rPr>
              <w:t xml:space="preserve"> ,</w:t>
            </w:r>
            <w:r>
              <w:rPr>
                <w:rFonts w:hint="eastAsia" w:ascii="仿宋" w:hAnsi="仿宋" w:eastAsia="仿宋" w:cs="仿宋"/>
                <w:w w:val="99"/>
                <w:kern w:val="0"/>
                <w:sz w:val="16"/>
                <w:szCs w:val="16"/>
              </w:rPr>
              <w:t>公司未依法办理经营范围变更登记</w:t>
            </w:r>
            <w:r>
              <w:rPr>
                <w:rFonts w:ascii="仿宋" w:hAnsi="仿宋" w:eastAsia="仿宋" w:cs="仿宋"/>
                <w:w w:val="99"/>
                <w:kern w:val="0"/>
                <w:sz w:val="16"/>
                <w:szCs w:val="16"/>
              </w:rPr>
              <w:t>,</w:t>
            </w:r>
            <w:r>
              <w:rPr>
                <w:rFonts w:hint="eastAsia" w:ascii="仿宋" w:hAnsi="仿宋" w:eastAsia="仿宋" w:cs="仿宋"/>
                <w:w w:val="99"/>
                <w:kern w:val="0"/>
                <w:sz w:val="16"/>
                <w:szCs w:val="16"/>
              </w:rPr>
              <w:t>责令限期登记后及时登记的</w:t>
            </w:r>
            <w:r>
              <w:rPr>
                <w:rFonts w:ascii="仿宋" w:hAnsi="仿宋" w:eastAsia="仿宋" w:cs="仿宋"/>
                <w:w w:val="99"/>
                <w:kern w:val="0"/>
                <w:sz w:val="16"/>
                <w:szCs w:val="16"/>
              </w:rPr>
              <w:t>;</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3</w:t>
            </w:r>
            <w:r>
              <w:rPr>
                <w:rFonts w:hint="eastAsia" w:ascii="仿宋" w:hAnsi="仿宋" w:eastAsia="仿宋" w:cs="仿宋"/>
                <w:w w:val="99"/>
                <w:kern w:val="0"/>
                <w:sz w:val="16"/>
                <w:szCs w:val="16"/>
              </w:rPr>
              <w:t>）第四十一条规定，公司清算组未按规定将清算组成员、清算组负责人名单备案，经责令限期改正后及时改正的；</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4</w:t>
            </w:r>
            <w:r>
              <w:rPr>
                <w:rFonts w:hint="eastAsia" w:ascii="仿宋" w:hAnsi="仿宋" w:eastAsia="仿宋" w:cs="仿宋"/>
                <w:w w:val="99"/>
                <w:kern w:val="0"/>
                <w:sz w:val="16"/>
                <w:szCs w:val="16"/>
              </w:rPr>
              <w:t>）第四十七条第四款规定，公司未按规定将其设立分公司情况备案，经责令限期改正后及时改正的。</w:t>
            </w:r>
          </w:p>
          <w:p>
            <w:pPr>
              <w:spacing w:line="220" w:lineRule="exact"/>
              <w:rPr>
                <w:rFonts w:ascii="仿宋" w:hAnsi="仿宋" w:eastAsia="仿宋" w:cs="仿宋"/>
                <w:w w:val="99"/>
                <w:kern w:val="0"/>
                <w:sz w:val="16"/>
                <w:szCs w:val="16"/>
              </w:rPr>
            </w:pPr>
            <w:r>
              <w:rPr>
                <w:rFonts w:ascii="仿宋" w:hAnsi="仿宋" w:eastAsia="仿宋" w:cs="仿宋"/>
                <w:w w:val="99"/>
                <w:kern w:val="0"/>
                <w:sz w:val="16"/>
                <w:szCs w:val="16"/>
              </w:rPr>
              <w:t>2.</w:t>
            </w:r>
            <w:r>
              <w:rPr>
                <w:rFonts w:hint="eastAsia" w:ascii="仿宋" w:hAnsi="仿宋" w:eastAsia="仿宋" w:cs="仿宋"/>
                <w:w w:val="99"/>
                <w:kern w:val="0"/>
                <w:sz w:val="16"/>
                <w:szCs w:val="16"/>
              </w:rPr>
              <w:t>违反《外国企业常驻代表机构登记管理条例》第十四条，外国企业常驻代表机构从事规定业务活动以外活动，责令限期改正后及时改正的。</w:t>
            </w:r>
          </w:p>
          <w:p>
            <w:pPr>
              <w:spacing w:line="220" w:lineRule="exact"/>
              <w:rPr>
                <w:rFonts w:ascii="仿宋" w:hAnsi="仿宋" w:eastAsia="仿宋" w:cs="仿宋"/>
                <w:w w:val="99"/>
                <w:kern w:val="0"/>
                <w:sz w:val="16"/>
                <w:szCs w:val="16"/>
              </w:rPr>
            </w:pPr>
            <w:r>
              <w:rPr>
                <w:rFonts w:ascii="仿宋" w:hAnsi="仿宋" w:eastAsia="仿宋" w:cs="仿宋"/>
                <w:w w:val="99"/>
                <w:kern w:val="0"/>
                <w:sz w:val="16"/>
                <w:szCs w:val="16"/>
              </w:rPr>
              <w:t>3.</w:t>
            </w:r>
            <w:r>
              <w:rPr>
                <w:rFonts w:hint="eastAsia" w:ascii="仿宋" w:hAnsi="仿宋" w:eastAsia="仿宋" w:cs="仿宋"/>
                <w:w w:val="99"/>
                <w:kern w:val="0"/>
                <w:sz w:val="16"/>
                <w:szCs w:val="16"/>
              </w:rPr>
              <w:t>违反《农民专业合作社登记管理条例》第二十七条</w:t>
            </w:r>
            <w:r>
              <w:rPr>
                <w:rFonts w:ascii="仿宋" w:hAnsi="仿宋" w:eastAsia="仿宋" w:cs="仿宋"/>
                <w:w w:val="99"/>
                <w:kern w:val="0"/>
                <w:sz w:val="16"/>
                <w:szCs w:val="16"/>
              </w:rPr>
              <w:t xml:space="preserve"> </w:t>
            </w:r>
            <w:r>
              <w:rPr>
                <w:rFonts w:hint="eastAsia" w:ascii="仿宋" w:hAnsi="仿宋" w:eastAsia="仿宋" w:cs="仿宋"/>
                <w:w w:val="99"/>
                <w:kern w:val="0"/>
                <w:sz w:val="16"/>
                <w:szCs w:val="16"/>
              </w:rPr>
              <w:t>第（一）项，农民专业合作社登记事项发生变更，未申请变更登记，责令限期改正后及时改正的。</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p>
        </w:tc>
        <w:tc>
          <w:tcPr>
            <w:tcW w:w="1295"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numPr>
                <w:ilvl w:val="0"/>
                <w:numId w:val="1"/>
              </w:numPr>
              <w:spacing w:line="220" w:lineRule="exact"/>
              <w:jc w:val="center"/>
              <w:textAlignment w:val="center"/>
              <w:rPr>
                <w:rFonts w:ascii="黑体" w:hAnsi="宋体" w:eastAsia="黑体" w:cs="黑体"/>
                <w:color w:val="000000"/>
                <w:sz w:val="24"/>
              </w:rPr>
            </w:pPr>
          </w:p>
        </w:tc>
        <w:tc>
          <w:tcPr>
            <w:tcW w:w="920"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市场监管</w:t>
            </w:r>
          </w:p>
        </w:tc>
        <w:tc>
          <w:tcPr>
            <w:tcW w:w="2451"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广告监管方面</w:t>
            </w:r>
          </w:p>
        </w:tc>
        <w:tc>
          <w:tcPr>
            <w:tcW w:w="3502" w:type="dxa"/>
            <w:tcBorders>
              <w:top w:val="single" w:color="000000" w:sz="4" w:space="0"/>
              <w:left w:val="single" w:color="000000" w:sz="4" w:space="0"/>
              <w:bottom w:val="single" w:color="000000" w:sz="4" w:space="0"/>
              <w:right w:val="single" w:color="000000" w:sz="4" w:space="0"/>
            </w:tcBorders>
            <w:vAlign w:val="center"/>
          </w:tcPr>
          <w:p>
            <w:pPr>
              <w:spacing w:line="220" w:lineRule="exact"/>
              <w:jc w:val="center"/>
              <w:rPr>
                <w:rFonts w:ascii="仿宋" w:hAnsi="仿宋" w:eastAsia="仿宋" w:cs="仿宋"/>
                <w:w w:val="99"/>
                <w:kern w:val="0"/>
                <w:sz w:val="16"/>
                <w:szCs w:val="16"/>
              </w:rPr>
            </w:pPr>
          </w:p>
        </w:tc>
        <w:tc>
          <w:tcPr>
            <w:tcW w:w="4457"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违反《广告发布登记管理规定》第十五条第三款，广告发布登记事项发生变化，广告发布单位未按规定办理变更登记，责令限期改正后及时改正的。</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p>
        </w:tc>
        <w:tc>
          <w:tcPr>
            <w:tcW w:w="1295" w:type="dxa"/>
            <w:tcBorders>
              <w:top w:val="single" w:color="000000" w:sz="4" w:space="0"/>
              <w:left w:val="single" w:color="000000" w:sz="4" w:space="0"/>
              <w:bottom w:val="single" w:color="000000" w:sz="4" w:space="0"/>
              <w:right w:val="single" w:color="000000" w:sz="4" w:space="0"/>
            </w:tcBorders>
            <w:vAlign w:val="center"/>
          </w:tcPr>
          <w:p>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numPr>
                <w:ilvl w:val="0"/>
                <w:numId w:val="1"/>
              </w:numPr>
              <w:spacing w:line="220" w:lineRule="exact"/>
              <w:jc w:val="center"/>
              <w:textAlignment w:val="center"/>
              <w:rPr>
                <w:rFonts w:ascii="黑体" w:hAnsi="宋体" w:eastAsia="黑体" w:cs="黑体"/>
                <w:color w:val="000000"/>
                <w:sz w:val="24"/>
              </w:rPr>
            </w:pPr>
          </w:p>
        </w:tc>
        <w:tc>
          <w:tcPr>
            <w:tcW w:w="920"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市场监管</w:t>
            </w:r>
          </w:p>
        </w:tc>
        <w:tc>
          <w:tcPr>
            <w:tcW w:w="2451"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电子商务监管方面</w:t>
            </w:r>
          </w:p>
        </w:tc>
        <w:tc>
          <w:tcPr>
            <w:tcW w:w="3502" w:type="dxa"/>
            <w:tcBorders>
              <w:top w:val="single" w:color="000000" w:sz="4" w:space="0"/>
              <w:left w:val="single" w:color="000000" w:sz="4" w:space="0"/>
              <w:bottom w:val="single" w:color="000000" w:sz="4" w:space="0"/>
              <w:right w:val="single" w:color="000000" w:sz="4" w:space="0"/>
            </w:tcBorders>
            <w:vAlign w:val="center"/>
          </w:tcPr>
          <w:p>
            <w:pPr>
              <w:spacing w:line="220" w:lineRule="exact"/>
              <w:jc w:val="center"/>
              <w:rPr>
                <w:rFonts w:ascii="仿宋" w:hAnsi="仿宋" w:eastAsia="仿宋" w:cs="仿宋"/>
                <w:w w:val="99"/>
                <w:kern w:val="0"/>
                <w:sz w:val="16"/>
                <w:szCs w:val="16"/>
              </w:rPr>
            </w:pPr>
          </w:p>
        </w:tc>
        <w:tc>
          <w:tcPr>
            <w:tcW w:w="4457"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r>
              <w:rPr>
                <w:rFonts w:ascii="仿宋" w:hAnsi="仿宋" w:eastAsia="仿宋" w:cs="仿宋"/>
                <w:w w:val="99"/>
                <w:kern w:val="0"/>
                <w:sz w:val="16"/>
                <w:szCs w:val="16"/>
              </w:rPr>
              <w:t>1.</w:t>
            </w:r>
            <w:r>
              <w:rPr>
                <w:rFonts w:hint="eastAsia" w:ascii="仿宋" w:hAnsi="仿宋" w:eastAsia="仿宋" w:cs="仿宋"/>
                <w:w w:val="99"/>
                <w:kern w:val="0"/>
                <w:sz w:val="16"/>
                <w:szCs w:val="16"/>
              </w:rPr>
              <w:t>违反《中华人民共和国电子商务法》</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1</w:t>
            </w:r>
            <w:r>
              <w:rPr>
                <w:rFonts w:hint="eastAsia" w:ascii="仿宋" w:hAnsi="仿宋" w:eastAsia="仿宋" w:cs="仿宋"/>
                <w:w w:val="99"/>
                <w:kern w:val="0"/>
                <w:sz w:val="16"/>
                <w:szCs w:val="16"/>
              </w:rPr>
              <w:t>）第二十七条，电子商务平台经营者未对进入平台经营者的身份、地址、联系方式、行政许可等信息进行核验、登记并建立更新档案，责令限期改正后及时改正的；</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2</w:t>
            </w:r>
            <w:r>
              <w:rPr>
                <w:rFonts w:hint="eastAsia" w:ascii="仿宋" w:hAnsi="仿宋" w:eastAsia="仿宋" w:cs="仿宋"/>
                <w:w w:val="99"/>
                <w:kern w:val="0"/>
                <w:sz w:val="16"/>
                <w:szCs w:val="16"/>
              </w:rPr>
              <w:t>）第二十八条，电子商务平台经营者未按规定向市场监管部门报送有关信息，责令限期改正后及时改正的；</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3</w:t>
            </w:r>
            <w:r>
              <w:rPr>
                <w:rFonts w:hint="eastAsia" w:ascii="仿宋" w:hAnsi="仿宋" w:eastAsia="仿宋" w:cs="仿宋"/>
                <w:w w:val="99"/>
                <w:kern w:val="0"/>
                <w:sz w:val="16"/>
                <w:szCs w:val="16"/>
              </w:rPr>
              <w:t>）第二十九条，不按照规定对违法情形采取必要的处置措施，或者未向有关主管部门报告，责令限期改正后及时改正的；</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4</w:t>
            </w:r>
            <w:r>
              <w:rPr>
                <w:rFonts w:hint="eastAsia" w:ascii="仿宋" w:hAnsi="仿宋" w:eastAsia="仿宋" w:cs="仿宋"/>
                <w:w w:val="99"/>
                <w:kern w:val="0"/>
                <w:sz w:val="16"/>
                <w:szCs w:val="16"/>
              </w:rPr>
              <w:t>）第四十二条，对平台内经营者实施侵犯知识产权行为未依法采取必要措施，责令限期改正后及时改正的。</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p>
        </w:tc>
        <w:tc>
          <w:tcPr>
            <w:tcW w:w="1295" w:type="dxa"/>
            <w:tcBorders>
              <w:top w:val="single" w:color="000000" w:sz="4" w:space="0"/>
              <w:left w:val="single" w:color="000000" w:sz="4" w:space="0"/>
              <w:bottom w:val="single" w:color="000000" w:sz="4" w:space="0"/>
              <w:right w:val="single" w:color="000000" w:sz="4" w:space="0"/>
            </w:tcBorders>
            <w:vAlign w:val="center"/>
          </w:tcPr>
          <w:p>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numPr>
                <w:ilvl w:val="0"/>
                <w:numId w:val="1"/>
              </w:numPr>
              <w:spacing w:line="220" w:lineRule="exact"/>
              <w:jc w:val="center"/>
              <w:textAlignment w:val="center"/>
              <w:rPr>
                <w:rFonts w:ascii="黑体" w:hAnsi="宋体" w:eastAsia="黑体" w:cs="黑体"/>
                <w:color w:val="000000"/>
                <w:sz w:val="24"/>
              </w:rPr>
            </w:pPr>
          </w:p>
        </w:tc>
        <w:tc>
          <w:tcPr>
            <w:tcW w:w="920"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市场监管</w:t>
            </w:r>
          </w:p>
        </w:tc>
        <w:tc>
          <w:tcPr>
            <w:tcW w:w="2451"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质量监管方面</w:t>
            </w:r>
          </w:p>
        </w:tc>
        <w:tc>
          <w:tcPr>
            <w:tcW w:w="3502" w:type="dxa"/>
            <w:tcBorders>
              <w:top w:val="single" w:color="000000" w:sz="4" w:space="0"/>
              <w:left w:val="single" w:color="000000" w:sz="4" w:space="0"/>
              <w:bottom w:val="single" w:color="000000" w:sz="4" w:space="0"/>
              <w:right w:val="single" w:color="000000" w:sz="4" w:space="0"/>
            </w:tcBorders>
            <w:vAlign w:val="center"/>
          </w:tcPr>
          <w:p>
            <w:pPr>
              <w:spacing w:line="220" w:lineRule="exact"/>
              <w:jc w:val="center"/>
              <w:rPr>
                <w:rFonts w:ascii="仿宋" w:hAnsi="仿宋" w:eastAsia="仿宋" w:cs="仿宋"/>
                <w:w w:val="99"/>
                <w:kern w:val="0"/>
                <w:sz w:val="16"/>
                <w:szCs w:val="16"/>
              </w:rPr>
            </w:pPr>
          </w:p>
        </w:tc>
        <w:tc>
          <w:tcPr>
            <w:tcW w:w="4457"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r>
              <w:rPr>
                <w:rFonts w:ascii="仿宋" w:hAnsi="仿宋" w:eastAsia="仿宋" w:cs="仿宋"/>
                <w:w w:val="99"/>
                <w:kern w:val="0"/>
                <w:sz w:val="16"/>
                <w:szCs w:val="16"/>
              </w:rPr>
              <w:t>1.</w:t>
            </w:r>
            <w:r>
              <w:rPr>
                <w:rFonts w:hint="eastAsia" w:ascii="仿宋" w:hAnsi="仿宋" w:eastAsia="仿宋" w:cs="仿宋"/>
                <w:w w:val="99"/>
                <w:kern w:val="0"/>
                <w:sz w:val="16"/>
                <w:szCs w:val="16"/>
              </w:rPr>
              <w:t>违反《中华人民共和国产品质量法》第二十七条第一款第一项至第三项，生产、销售产品标识不符合法律规定的产品的，立即自行改正或在行政机关责令改正的期限内改正的。</w:t>
            </w:r>
          </w:p>
          <w:p>
            <w:pPr>
              <w:spacing w:line="220" w:lineRule="exact"/>
              <w:rPr>
                <w:rFonts w:ascii="仿宋" w:hAnsi="仿宋" w:eastAsia="仿宋" w:cs="仿宋"/>
                <w:w w:val="99"/>
                <w:kern w:val="0"/>
                <w:sz w:val="16"/>
                <w:szCs w:val="16"/>
              </w:rPr>
            </w:pPr>
            <w:r>
              <w:rPr>
                <w:rFonts w:ascii="仿宋" w:hAnsi="仿宋" w:eastAsia="仿宋" w:cs="仿宋"/>
                <w:w w:val="99"/>
                <w:kern w:val="0"/>
                <w:sz w:val="16"/>
                <w:szCs w:val="16"/>
              </w:rPr>
              <w:t>2.</w:t>
            </w:r>
            <w:r>
              <w:rPr>
                <w:rFonts w:hint="eastAsia" w:ascii="仿宋" w:hAnsi="仿宋" w:eastAsia="仿宋" w:cs="仿宋"/>
                <w:w w:val="99"/>
                <w:kern w:val="0"/>
                <w:sz w:val="16"/>
                <w:szCs w:val="16"/>
              </w:rPr>
              <w:t>违反《中华人民共和国工业产品生产许可证管理条例》</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1</w:t>
            </w:r>
            <w:r>
              <w:rPr>
                <w:rFonts w:hint="eastAsia" w:ascii="仿宋" w:hAnsi="仿宋" w:eastAsia="仿宋" w:cs="仿宋"/>
                <w:w w:val="99"/>
                <w:kern w:val="0"/>
                <w:sz w:val="16"/>
                <w:szCs w:val="16"/>
              </w:rPr>
              <w:t>）第二十九条，取得生产许可证的企业名称发生变化，未依照规定办理变更手续，责令限期办理相关手续后及时办理的；</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2</w:t>
            </w:r>
            <w:r>
              <w:rPr>
                <w:rFonts w:hint="eastAsia" w:ascii="仿宋" w:hAnsi="仿宋" w:eastAsia="仿宋" w:cs="仿宋"/>
                <w:w w:val="99"/>
                <w:kern w:val="0"/>
                <w:sz w:val="16"/>
                <w:szCs w:val="16"/>
              </w:rPr>
              <w:t>）第三十三条第一款，取得生产许可证的企业未依照规定在产品、包装或说明书上标注生产许可证标志和编号，责令限期改正后及时改正的；</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3</w:t>
            </w:r>
            <w:r>
              <w:rPr>
                <w:rFonts w:hint="eastAsia" w:ascii="仿宋" w:hAnsi="仿宋" w:eastAsia="仿宋" w:cs="仿宋"/>
                <w:w w:val="99"/>
                <w:kern w:val="0"/>
                <w:sz w:val="16"/>
                <w:szCs w:val="16"/>
              </w:rPr>
              <w:t>）第三十八条，取得生产许可证的企业未在规定期限内向省、自治区、直辖市工业产品生产许可证主管部门提交报告的，责令限期改正后及时改正的。</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p>
        </w:tc>
        <w:tc>
          <w:tcPr>
            <w:tcW w:w="1295" w:type="dxa"/>
            <w:tcBorders>
              <w:top w:val="single" w:color="000000" w:sz="4" w:space="0"/>
              <w:left w:val="single" w:color="000000" w:sz="4" w:space="0"/>
              <w:bottom w:val="single" w:color="000000" w:sz="4" w:space="0"/>
              <w:right w:val="single" w:color="000000" w:sz="4" w:space="0"/>
            </w:tcBorders>
            <w:vAlign w:val="center"/>
          </w:tcPr>
          <w:p>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numPr>
                <w:ilvl w:val="0"/>
                <w:numId w:val="1"/>
              </w:numPr>
              <w:spacing w:line="220" w:lineRule="exact"/>
              <w:jc w:val="center"/>
              <w:textAlignment w:val="center"/>
              <w:rPr>
                <w:rFonts w:ascii="黑体" w:hAnsi="宋体" w:eastAsia="黑体" w:cs="黑体"/>
                <w:color w:val="000000"/>
                <w:sz w:val="24"/>
              </w:rPr>
            </w:pPr>
          </w:p>
        </w:tc>
        <w:tc>
          <w:tcPr>
            <w:tcW w:w="920"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市场监管</w:t>
            </w:r>
          </w:p>
        </w:tc>
        <w:tc>
          <w:tcPr>
            <w:tcW w:w="2451"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计量监管方面</w:t>
            </w:r>
          </w:p>
        </w:tc>
        <w:tc>
          <w:tcPr>
            <w:tcW w:w="3502" w:type="dxa"/>
            <w:tcBorders>
              <w:top w:val="single" w:color="000000" w:sz="4" w:space="0"/>
              <w:left w:val="single" w:color="000000" w:sz="4" w:space="0"/>
              <w:bottom w:val="single" w:color="000000" w:sz="4" w:space="0"/>
              <w:right w:val="single" w:color="000000" w:sz="4" w:space="0"/>
            </w:tcBorders>
            <w:vAlign w:val="center"/>
          </w:tcPr>
          <w:p>
            <w:pPr>
              <w:spacing w:line="220" w:lineRule="exact"/>
              <w:jc w:val="center"/>
              <w:rPr>
                <w:rFonts w:ascii="仿宋" w:hAnsi="仿宋" w:eastAsia="仿宋" w:cs="仿宋"/>
                <w:w w:val="99"/>
                <w:kern w:val="0"/>
                <w:sz w:val="16"/>
                <w:szCs w:val="16"/>
              </w:rPr>
            </w:pPr>
          </w:p>
        </w:tc>
        <w:tc>
          <w:tcPr>
            <w:tcW w:w="4457"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r>
              <w:rPr>
                <w:rFonts w:ascii="仿宋" w:hAnsi="仿宋" w:eastAsia="仿宋" w:cs="仿宋"/>
                <w:w w:val="99"/>
                <w:kern w:val="0"/>
                <w:sz w:val="16"/>
                <w:szCs w:val="16"/>
              </w:rPr>
              <w:t>1.</w:t>
            </w:r>
            <w:r>
              <w:rPr>
                <w:rFonts w:hint="eastAsia" w:ascii="仿宋" w:hAnsi="仿宋" w:eastAsia="仿宋" w:cs="仿宋"/>
                <w:w w:val="99"/>
                <w:kern w:val="0"/>
                <w:sz w:val="16"/>
                <w:szCs w:val="16"/>
              </w:rPr>
              <w:t>违反《定量包装商品计量监督管理办法》第十七条，生产、销售定量包装商品，未正确、清晰地标注净含量的，未标注净含量的，责令限期改正后及时改正的；</w:t>
            </w:r>
          </w:p>
          <w:p>
            <w:pPr>
              <w:spacing w:line="220" w:lineRule="exact"/>
              <w:rPr>
                <w:rFonts w:ascii="仿宋" w:hAnsi="仿宋" w:eastAsia="仿宋" w:cs="仿宋"/>
                <w:w w:val="99"/>
                <w:kern w:val="0"/>
                <w:sz w:val="16"/>
                <w:szCs w:val="16"/>
              </w:rPr>
            </w:pPr>
            <w:r>
              <w:rPr>
                <w:rFonts w:ascii="仿宋" w:hAnsi="仿宋" w:eastAsia="仿宋" w:cs="仿宋"/>
                <w:w w:val="99"/>
                <w:kern w:val="0"/>
                <w:sz w:val="16"/>
                <w:szCs w:val="16"/>
              </w:rPr>
              <w:t>2.</w:t>
            </w:r>
            <w:r>
              <w:rPr>
                <w:rFonts w:hint="eastAsia" w:ascii="仿宋" w:hAnsi="仿宋" w:eastAsia="仿宋" w:cs="仿宋"/>
                <w:w w:val="99"/>
                <w:kern w:val="0"/>
                <w:sz w:val="16"/>
                <w:szCs w:val="16"/>
              </w:rPr>
              <w:t>违反《集贸市场计量监督管理办法》第五条第（四）项，集市主办者未按规定对集市使用的属于强制检定的计量器具登记造册和备案，并配合市场监督管理部门及其指定的法定计量检定机构做好强制检定工作，责令限期改正后及时改正的。</w:t>
            </w:r>
          </w:p>
          <w:p>
            <w:pPr>
              <w:spacing w:line="220" w:lineRule="exact"/>
              <w:rPr>
                <w:rFonts w:ascii="仿宋" w:hAnsi="仿宋" w:eastAsia="仿宋" w:cs="仿宋"/>
                <w:w w:val="99"/>
                <w:kern w:val="0"/>
                <w:sz w:val="16"/>
                <w:szCs w:val="16"/>
              </w:rPr>
            </w:pPr>
            <w:r>
              <w:rPr>
                <w:rFonts w:ascii="仿宋" w:hAnsi="仿宋" w:eastAsia="仿宋" w:cs="仿宋"/>
                <w:w w:val="99"/>
                <w:kern w:val="0"/>
                <w:sz w:val="16"/>
                <w:szCs w:val="16"/>
              </w:rPr>
              <w:t>3.</w:t>
            </w:r>
            <w:r>
              <w:rPr>
                <w:rFonts w:hint="eastAsia" w:ascii="仿宋" w:hAnsi="仿宋" w:eastAsia="仿宋" w:cs="仿宋"/>
                <w:w w:val="99"/>
                <w:kern w:val="0"/>
                <w:sz w:val="16"/>
                <w:szCs w:val="16"/>
              </w:rPr>
              <w:t>违反《眼镜制配计量监督管理办法》第四条，使用属于强制检定的计量器具未按照规定登记造册、报当地县级市场监督管理部门备案，责令限期改正后及时改正的。</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p>
        </w:tc>
        <w:tc>
          <w:tcPr>
            <w:tcW w:w="1295" w:type="dxa"/>
            <w:tcBorders>
              <w:top w:val="single" w:color="000000" w:sz="4" w:space="0"/>
              <w:left w:val="single" w:color="000000" w:sz="4" w:space="0"/>
              <w:bottom w:val="single" w:color="000000" w:sz="4" w:space="0"/>
              <w:right w:val="single" w:color="000000" w:sz="4" w:space="0"/>
            </w:tcBorders>
            <w:vAlign w:val="center"/>
          </w:tcPr>
          <w:p>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numPr>
                <w:ilvl w:val="0"/>
                <w:numId w:val="1"/>
              </w:numPr>
              <w:spacing w:line="220" w:lineRule="exact"/>
              <w:jc w:val="center"/>
              <w:textAlignment w:val="center"/>
              <w:rPr>
                <w:rFonts w:ascii="黑体" w:hAnsi="宋体" w:eastAsia="黑体" w:cs="黑体"/>
                <w:color w:val="000000"/>
                <w:sz w:val="24"/>
              </w:rPr>
            </w:pPr>
          </w:p>
        </w:tc>
        <w:tc>
          <w:tcPr>
            <w:tcW w:w="920"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市场监管</w:t>
            </w:r>
          </w:p>
        </w:tc>
        <w:tc>
          <w:tcPr>
            <w:tcW w:w="2451"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标准化监管方面</w:t>
            </w:r>
          </w:p>
        </w:tc>
        <w:tc>
          <w:tcPr>
            <w:tcW w:w="3502" w:type="dxa"/>
            <w:tcBorders>
              <w:top w:val="single" w:color="000000" w:sz="4" w:space="0"/>
              <w:left w:val="single" w:color="000000" w:sz="4" w:space="0"/>
              <w:bottom w:val="single" w:color="000000" w:sz="4" w:space="0"/>
              <w:right w:val="single" w:color="000000" w:sz="4" w:space="0"/>
            </w:tcBorders>
            <w:vAlign w:val="center"/>
          </w:tcPr>
          <w:p>
            <w:pPr>
              <w:spacing w:line="220" w:lineRule="exact"/>
              <w:jc w:val="center"/>
              <w:rPr>
                <w:rFonts w:ascii="仿宋" w:hAnsi="仿宋" w:eastAsia="仿宋" w:cs="仿宋"/>
                <w:w w:val="99"/>
                <w:kern w:val="0"/>
                <w:sz w:val="16"/>
                <w:szCs w:val="16"/>
              </w:rPr>
            </w:pPr>
          </w:p>
        </w:tc>
        <w:tc>
          <w:tcPr>
            <w:tcW w:w="4457"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违反《中华人民共和国标准化法》</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1</w:t>
            </w:r>
            <w:r>
              <w:rPr>
                <w:rFonts w:hint="eastAsia" w:ascii="仿宋" w:hAnsi="仿宋" w:eastAsia="仿宋" w:cs="仿宋"/>
                <w:w w:val="99"/>
                <w:kern w:val="0"/>
                <w:sz w:val="16"/>
                <w:szCs w:val="16"/>
              </w:rPr>
              <w:t>）第二十七条第一款，企业未依照规定公开其执行标准的；</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2</w:t>
            </w:r>
            <w:r>
              <w:rPr>
                <w:rFonts w:hint="eastAsia" w:ascii="仿宋" w:hAnsi="仿宋" w:eastAsia="仿宋" w:cs="仿宋"/>
                <w:w w:val="99"/>
                <w:kern w:val="0"/>
                <w:sz w:val="16"/>
                <w:szCs w:val="16"/>
              </w:rPr>
              <w:t>）第二十一条第一款，团体标准、企业标准的技术要求低于强制性国家标准的相关技术要求，责令限期改正后及时改正的；</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3</w:t>
            </w:r>
            <w:r>
              <w:rPr>
                <w:rFonts w:hint="eastAsia" w:ascii="仿宋" w:hAnsi="仿宋" w:eastAsia="仿宋" w:cs="仿宋"/>
                <w:w w:val="99"/>
                <w:kern w:val="0"/>
                <w:sz w:val="16"/>
                <w:szCs w:val="16"/>
              </w:rPr>
              <w:t>）第二十二条第一款，制定标准不利于科学合理利用资源，推广科学技术成果，增强产品的安全性、通用性、可替换性，提高经济效益、社会效益、生态效益，做到技术上先进、经济上合理的，责令限期改正后及时改正的；</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4</w:t>
            </w:r>
            <w:r>
              <w:rPr>
                <w:rFonts w:hint="eastAsia" w:ascii="仿宋" w:hAnsi="仿宋" w:eastAsia="仿宋" w:cs="仿宋"/>
                <w:w w:val="99"/>
                <w:kern w:val="0"/>
                <w:sz w:val="16"/>
                <w:szCs w:val="16"/>
              </w:rPr>
              <w:t>）第四十二条，社会团体、企业未依照本法规定对团体标准或者企业标准进行编号，责令限期改正后及时改正的。</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p>
        </w:tc>
        <w:tc>
          <w:tcPr>
            <w:tcW w:w="1295" w:type="dxa"/>
            <w:tcBorders>
              <w:top w:val="single" w:color="000000" w:sz="4" w:space="0"/>
              <w:left w:val="single" w:color="000000" w:sz="4" w:space="0"/>
              <w:bottom w:val="single" w:color="000000" w:sz="4" w:space="0"/>
              <w:right w:val="single" w:color="000000" w:sz="4" w:space="0"/>
            </w:tcBorders>
            <w:vAlign w:val="center"/>
          </w:tcPr>
          <w:p>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numPr>
                <w:ilvl w:val="0"/>
                <w:numId w:val="1"/>
              </w:numPr>
              <w:spacing w:line="220" w:lineRule="exact"/>
              <w:jc w:val="center"/>
              <w:textAlignment w:val="center"/>
              <w:rPr>
                <w:rFonts w:ascii="黑体" w:hAnsi="宋体" w:eastAsia="黑体" w:cs="黑体"/>
                <w:color w:val="000000"/>
                <w:sz w:val="24"/>
              </w:rPr>
            </w:pPr>
          </w:p>
        </w:tc>
        <w:tc>
          <w:tcPr>
            <w:tcW w:w="920"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市场监管</w:t>
            </w:r>
          </w:p>
        </w:tc>
        <w:tc>
          <w:tcPr>
            <w:tcW w:w="2451"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认证认可监管方面</w:t>
            </w:r>
          </w:p>
        </w:tc>
        <w:tc>
          <w:tcPr>
            <w:tcW w:w="3502" w:type="dxa"/>
            <w:tcBorders>
              <w:top w:val="single" w:color="000000" w:sz="4" w:space="0"/>
              <w:left w:val="single" w:color="000000" w:sz="4" w:space="0"/>
              <w:bottom w:val="single" w:color="000000" w:sz="4" w:space="0"/>
              <w:right w:val="single" w:color="000000" w:sz="4" w:space="0"/>
            </w:tcBorders>
            <w:vAlign w:val="center"/>
          </w:tcPr>
          <w:p>
            <w:pPr>
              <w:spacing w:line="220" w:lineRule="exact"/>
              <w:jc w:val="center"/>
              <w:rPr>
                <w:rFonts w:ascii="仿宋" w:hAnsi="仿宋" w:eastAsia="仿宋" w:cs="仿宋"/>
                <w:w w:val="99"/>
                <w:kern w:val="0"/>
                <w:sz w:val="16"/>
                <w:szCs w:val="16"/>
              </w:rPr>
            </w:pPr>
          </w:p>
        </w:tc>
        <w:tc>
          <w:tcPr>
            <w:tcW w:w="4457"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r>
              <w:rPr>
                <w:rFonts w:ascii="仿宋" w:hAnsi="仿宋" w:eastAsia="仿宋" w:cs="仿宋"/>
                <w:w w:val="99"/>
                <w:kern w:val="0"/>
                <w:sz w:val="16"/>
                <w:szCs w:val="16"/>
              </w:rPr>
              <w:t>1.</w:t>
            </w:r>
            <w:r>
              <w:rPr>
                <w:rFonts w:hint="eastAsia" w:ascii="仿宋" w:hAnsi="仿宋" w:eastAsia="仿宋" w:cs="仿宋"/>
                <w:w w:val="99"/>
                <w:kern w:val="0"/>
                <w:sz w:val="16"/>
                <w:szCs w:val="16"/>
              </w:rPr>
              <w:t>违反《强制性产品认证管理规定》</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1</w:t>
            </w:r>
            <w:r>
              <w:rPr>
                <w:rFonts w:hint="eastAsia" w:ascii="仿宋" w:hAnsi="仿宋" w:eastAsia="仿宋" w:cs="仿宋"/>
                <w:w w:val="99"/>
                <w:kern w:val="0"/>
                <w:sz w:val="16"/>
                <w:szCs w:val="16"/>
              </w:rPr>
              <w:t>）第二十三条，获证产品及其销售包装上标注的认证证书所含内容与认证证书内容不一致的，责令限期改正后及时改正的；</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2</w:t>
            </w:r>
            <w:r>
              <w:rPr>
                <w:rFonts w:hint="eastAsia" w:ascii="仿宋" w:hAnsi="仿宋" w:eastAsia="仿宋" w:cs="仿宋"/>
                <w:w w:val="99"/>
                <w:kern w:val="0"/>
                <w:sz w:val="16"/>
                <w:szCs w:val="16"/>
              </w:rPr>
              <w:t>）第三十二条，未按照规定使用认证标志的，责令限期改正后及时改正的；</w:t>
            </w:r>
          </w:p>
          <w:p>
            <w:pPr>
              <w:spacing w:line="220" w:lineRule="exact"/>
              <w:rPr>
                <w:rFonts w:ascii="仿宋" w:hAnsi="仿宋" w:eastAsia="仿宋" w:cs="仿宋"/>
                <w:w w:val="99"/>
                <w:kern w:val="0"/>
                <w:sz w:val="16"/>
                <w:szCs w:val="16"/>
              </w:rPr>
            </w:pPr>
            <w:r>
              <w:rPr>
                <w:rFonts w:ascii="仿宋" w:hAnsi="仿宋" w:eastAsia="仿宋" w:cs="仿宋"/>
                <w:w w:val="99"/>
                <w:kern w:val="0"/>
                <w:sz w:val="16"/>
                <w:szCs w:val="16"/>
              </w:rPr>
              <w:t>2.</w:t>
            </w:r>
            <w:r>
              <w:rPr>
                <w:rFonts w:hint="eastAsia" w:ascii="仿宋" w:hAnsi="仿宋" w:eastAsia="仿宋" w:cs="仿宋"/>
                <w:w w:val="99"/>
                <w:kern w:val="0"/>
                <w:sz w:val="16"/>
                <w:szCs w:val="16"/>
              </w:rPr>
              <w:t>违反《认证证书和认证标志管理办法》第十二条，混淆使用认证证书和认证标志，责令限期改正后及时改正的。</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p>
        </w:tc>
        <w:tc>
          <w:tcPr>
            <w:tcW w:w="1295" w:type="dxa"/>
            <w:tcBorders>
              <w:top w:val="single" w:color="000000" w:sz="4" w:space="0"/>
              <w:left w:val="single" w:color="000000" w:sz="4" w:space="0"/>
              <w:bottom w:val="single" w:color="000000" w:sz="4" w:space="0"/>
              <w:right w:val="single" w:color="000000" w:sz="4" w:space="0"/>
            </w:tcBorders>
            <w:vAlign w:val="center"/>
          </w:tcPr>
          <w:p>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numPr>
                <w:ilvl w:val="0"/>
                <w:numId w:val="1"/>
              </w:numPr>
              <w:spacing w:line="220" w:lineRule="exact"/>
              <w:jc w:val="center"/>
              <w:textAlignment w:val="center"/>
              <w:rPr>
                <w:rFonts w:ascii="黑体" w:hAnsi="宋体" w:eastAsia="黑体" w:cs="黑体"/>
                <w:color w:val="000000"/>
                <w:sz w:val="24"/>
              </w:rPr>
            </w:pPr>
          </w:p>
        </w:tc>
        <w:tc>
          <w:tcPr>
            <w:tcW w:w="920"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市场监管</w:t>
            </w:r>
          </w:p>
        </w:tc>
        <w:tc>
          <w:tcPr>
            <w:tcW w:w="2451"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化妆品监管方面</w:t>
            </w:r>
          </w:p>
        </w:tc>
        <w:tc>
          <w:tcPr>
            <w:tcW w:w="3502" w:type="dxa"/>
            <w:tcBorders>
              <w:top w:val="single" w:color="000000" w:sz="4" w:space="0"/>
              <w:left w:val="single" w:color="000000" w:sz="4" w:space="0"/>
              <w:bottom w:val="single" w:color="000000" w:sz="4" w:space="0"/>
              <w:right w:val="single" w:color="000000" w:sz="4" w:space="0"/>
            </w:tcBorders>
            <w:vAlign w:val="center"/>
          </w:tcPr>
          <w:p>
            <w:pPr>
              <w:spacing w:line="220" w:lineRule="exact"/>
              <w:jc w:val="center"/>
              <w:rPr>
                <w:rFonts w:ascii="仿宋" w:hAnsi="仿宋" w:eastAsia="仿宋" w:cs="仿宋"/>
                <w:w w:val="99"/>
                <w:kern w:val="0"/>
                <w:sz w:val="16"/>
                <w:szCs w:val="16"/>
              </w:rPr>
            </w:pPr>
          </w:p>
        </w:tc>
        <w:tc>
          <w:tcPr>
            <w:tcW w:w="4457"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《化妆品生产经营监督管理条例》</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第六十二条</w:t>
            </w:r>
            <w:r>
              <w:rPr>
                <w:rFonts w:ascii="仿宋" w:hAnsi="仿宋" w:eastAsia="仿宋" w:cs="仿宋"/>
                <w:w w:val="99"/>
                <w:kern w:val="0"/>
                <w:sz w:val="16"/>
                <w:szCs w:val="16"/>
              </w:rPr>
              <w:t xml:space="preserve"> </w:t>
            </w:r>
            <w:r>
              <w:rPr>
                <w:rFonts w:hint="eastAsia" w:ascii="仿宋" w:hAnsi="仿宋" w:eastAsia="仿宋" w:cs="仿宋"/>
                <w:w w:val="99"/>
                <w:kern w:val="0"/>
                <w:sz w:val="16"/>
                <w:szCs w:val="16"/>
              </w:rPr>
              <w:t>化妆品生产经营者违反法律、法规、规章、强制性国家标准、技术规范，属于初次违法且危害后果轻微并及时改正的，可以不予行政处罚。当事人有证据足以证明没有主观过错的，不予行政处罚。法律、行政法规另有规定的，从其规定。</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违反《化妆品标识管理规定》</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1</w:t>
            </w:r>
            <w:r>
              <w:rPr>
                <w:rFonts w:hint="eastAsia" w:ascii="仿宋" w:hAnsi="仿宋" w:eastAsia="仿宋" w:cs="仿宋"/>
                <w:w w:val="99"/>
                <w:kern w:val="0"/>
                <w:sz w:val="16"/>
                <w:szCs w:val="16"/>
              </w:rPr>
              <w:t>）第六条、第七条，化妆品标识未标注化妆品名称或者标注名称不符合规定要求，责令限期改正后及时改正的；</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2</w:t>
            </w:r>
            <w:r>
              <w:rPr>
                <w:rFonts w:hint="eastAsia" w:ascii="仿宋" w:hAnsi="仿宋" w:eastAsia="仿宋" w:cs="仿宋"/>
                <w:w w:val="99"/>
                <w:kern w:val="0"/>
                <w:sz w:val="16"/>
                <w:szCs w:val="16"/>
              </w:rPr>
              <w:t>）第八条、第九条，化妆品标识未依法标注化妆品实际生产加工地或者生产者名称、地址的，责令限期改正后及时改正的；</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3</w:t>
            </w:r>
            <w:r>
              <w:rPr>
                <w:rFonts w:hint="eastAsia" w:ascii="仿宋" w:hAnsi="仿宋" w:eastAsia="仿宋" w:cs="仿宋"/>
                <w:w w:val="99"/>
                <w:kern w:val="0"/>
                <w:sz w:val="16"/>
                <w:szCs w:val="16"/>
              </w:rPr>
              <w:t>）第十三条，化妆品标识未标注产品标准号或者未标注质量检验合格证，责令限期改正后及时改正的；</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4</w:t>
            </w:r>
            <w:r>
              <w:rPr>
                <w:rFonts w:hint="eastAsia" w:ascii="仿宋" w:hAnsi="仿宋" w:eastAsia="仿宋" w:cs="仿宋"/>
                <w:w w:val="99"/>
                <w:kern w:val="0"/>
                <w:sz w:val="16"/>
                <w:szCs w:val="16"/>
              </w:rPr>
              <w:t>）第二十一条，有关化妆品标识中内容必须使用规范中文之规定，责令限期改正后及时改正的；</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w:t>
            </w:r>
            <w:r>
              <w:rPr>
                <w:rFonts w:ascii="仿宋" w:hAnsi="仿宋" w:eastAsia="仿宋" w:cs="仿宋"/>
                <w:w w:val="99"/>
                <w:kern w:val="0"/>
                <w:sz w:val="16"/>
                <w:szCs w:val="16"/>
              </w:rPr>
              <w:t>5</w:t>
            </w:r>
            <w:r>
              <w:rPr>
                <w:rFonts w:hint="eastAsia" w:ascii="仿宋" w:hAnsi="仿宋" w:eastAsia="仿宋" w:cs="仿宋"/>
                <w:w w:val="99"/>
                <w:kern w:val="0"/>
                <w:sz w:val="16"/>
                <w:szCs w:val="16"/>
              </w:rPr>
              <w:t>）第二十二条，化妆品包装物（容器）最大表面面积大于</w:t>
            </w:r>
            <w:r>
              <w:rPr>
                <w:rFonts w:ascii="仿宋" w:hAnsi="仿宋" w:eastAsia="仿宋" w:cs="仿宋"/>
                <w:w w:val="99"/>
                <w:kern w:val="0"/>
                <w:sz w:val="16"/>
                <w:szCs w:val="16"/>
              </w:rPr>
              <w:t>20</w:t>
            </w:r>
            <w:r>
              <w:rPr>
                <w:rFonts w:hint="eastAsia" w:ascii="仿宋" w:hAnsi="仿宋" w:eastAsia="仿宋" w:cs="仿宋"/>
                <w:w w:val="99"/>
                <w:kern w:val="0"/>
                <w:sz w:val="16"/>
                <w:szCs w:val="16"/>
              </w:rPr>
              <w:t>平方厘米的，化妆品标识中强制标注内容字体高度小于</w:t>
            </w:r>
            <w:r>
              <w:rPr>
                <w:rFonts w:ascii="仿宋" w:hAnsi="仿宋" w:eastAsia="仿宋" w:cs="仿宋"/>
                <w:w w:val="99"/>
                <w:kern w:val="0"/>
                <w:sz w:val="16"/>
                <w:szCs w:val="16"/>
              </w:rPr>
              <w:t>1.8</w:t>
            </w:r>
            <w:r>
              <w:rPr>
                <w:rFonts w:hint="eastAsia" w:ascii="仿宋" w:hAnsi="仿宋" w:eastAsia="仿宋" w:cs="仿宋"/>
                <w:w w:val="99"/>
                <w:kern w:val="0"/>
                <w:sz w:val="16"/>
                <w:szCs w:val="16"/>
              </w:rPr>
              <w:t>毫米；或者注册商标外的标识所使用的拼音、外文字体大于相应汉字，责令限期改正后及时改正的。</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p>
        </w:tc>
        <w:tc>
          <w:tcPr>
            <w:tcW w:w="1295" w:type="dxa"/>
            <w:tcBorders>
              <w:top w:val="single" w:color="000000" w:sz="4" w:space="0"/>
              <w:left w:val="single" w:color="000000" w:sz="4" w:space="0"/>
              <w:bottom w:val="single" w:color="000000" w:sz="4" w:space="0"/>
              <w:right w:val="single" w:color="000000" w:sz="4" w:space="0"/>
            </w:tcBorders>
            <w:vAlign w:val="center"/>
          </w:tcPr>
          <w:p>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numPr>
                <w:ilvl w:val="0"/>
                <w:numId w:val="1"/>
              </w:numPr>
              <w:spacing w:line="220" w:lineRule="exact"/>
              <w:jc w:val="center"/>
              <w:textAlignment w:val="center"/>
              <w:rPr>
                <w:rFonts w:ascii="黑体" w:hAnsi="宋体" w:eastAsia="黑体" w:cs="黑体"/>
                <w:color w:val="000000"/>
                <w:sz w:val="24"/>
              </w:rPr>
            </w:pPr>
          </w:p>
        </w:tc>
        <w:tc>
          <w:tcPr>
            <w:tcW w:w="920"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市场监管</w:t>
            </w:r>
          </w:p>
        </w:tc>
        <w:tc>
          <w:tcPr>
            <w:tcW w:w="2451"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知识产权监管方面</w:t>
            </w:r>
          </w:p>
        </w:tc>
        <w:tc>
          <w:tcPr>
            <w:tcW w:w="3502" w:type="dxa"/>
            <w:tcBorders>
              <w:top w:val="single" w:color="000000" w:sz="4" w:space="0"/>
              <w:left w:val="single" w:color="000000" w:sz="4" w:space="0"/>
              <w:bottom w:val="single" w:color="000000" w:sz="4" w:space="0"/>
              <w:right w:val="single" w:color="000000" w:sz="4" w:space="0"/>
            </w:tcBorders>
            <w:vAlign w:val="center"/>
          </w:tcPr>
          <w:p>
            <w:pPr>
              <w:spacing w:line="220" w:lineRule="exact"/>
              <w:jc w:val="center"/>
              <w:rPr>
                <w:rFonts w:ascii="仿宋" w:hAnsi="仿宋" w:eastAsia="仿宋" w:cs="仿宋"/>
                <w:w w:val="99"/>
                <w:kern w:val="0"/>
                <w:sz w:val="16"/>
                <w:szCs w:val="16"/>
              </w:rPr>
            </w:pPr>
          </w:p>
        </w:tc>
        <w:tc>
          <w:tcPr>
            <w:tcW w:w="4457"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r>
              <w:rPr>
                <w:rFonts w:ascii="仿宋" w:hAnsi="仿宋" w:eastAsia="仿宋" w:cs="仿宋"/>
                <w:w w:val="99"/>
                <w:kern w:val="0"/>
                <w:sz w:val="16"/>
                <w:szCs w:val="16"/>
              </w:rPr>
              <w:t>1.</w:t>
            </w:r>
            <w:r>
              <w:rPr>
                <w:rFonts w:hint="eastAsia" w:ascii="仿宋" w:hAnsi="仿宋" w:eastAsia="仿宋" w:cs="仿宋"/>
                <w:w w:val="99"/>
                <w:kern w:val="0"/>
                <w:sz w:val="16"/>
                <w:szCs w:val="16"/>
              </w:rPr>
              <w:t>违反《中华人民共和国商标法》第五十七条第（三）项规定，符合第六十条“销售不知道是侵犯注册商标专用权的商品，能证明该商品是自己合法取得并说明提供者”规定，经责令停止销售后停止销售的。</w:t>
            </w:r>
          </w:p>
          <w:p>
            <w:pPr>
              <w:spacing w:line="220" w:lineRule="exact"/>
              <w:rPr>
                <w:rFonts w:ascii="仿宋" w:hAnsi="仿宋" w:eastAsia="仿宋" w:cs="仿宋"/>
                <w:w w:val="99"/>
                <w:kern w:val="0"/>
                <w:sz w:val="16"/>
                <w:szCs w:val="16"/>
              </w:rPr>
            </w:pPr>
            <w:r>
              <w:rPr>
                <w:rFonts w:ascii="仿宋" w:hAnsi="仿宋" w:eastAsia="仿宋" w:cs="仿宋"/>
                <w:w w:val="99"/>
                <w:kern w:val="0"/>
                <w:sz w:val="16"/>
                <w:szCs w:val="16"/>
              </w:rPr>
              <w:t>2.</w:t>
            </w:r>
            <w:r>
              <w:rPr>
                <w:rFonts w:hint="eastAsia" w:ascii="仿宋" w:hAnsi="仿宋" w:eastAsia="仿宋" w:cs="仿宋"/>
                <w:w w:val="99"/>
                <w:kern w:val="0"/>
                <w:sz w:val="16"/>
                <w:szCs w:val="16"/>
              </w:rPr>
              <w:t>违反《集体商标、证明商标注册和管理办法》第二十一条，集体商标、证明商标注册人没有对该商标的使用进行有效管理或者控制，致使该商标使用的商品达不到其使用管理规则的要求，对消费者造成损害，情节轻微，责令限期改正后及时改正的。</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p>
        </w:tc>
        <w:tc>
          <w:tcPr>
            <w:tcW w:w="1295" w:type="dxa"/>
            <w:tcBorders>
              <w:top w:val="single" w:color="000000" w:sz="4" w:space="0"/>
              <w:left w:val="single" w:color="000000" w:sz="4" w:space="0"/>
              <w:bottom w:val="single" w:color="000000" w:sz="4" w:space="0"/>
              <w:right w:val="single" w:color="000000" w:sz="4" w:space="0"/>
            </w:tcBorders>
            <w:vAlign w:val="center"/>
          </w:tcPr>
          <w:p>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numPr>
                <w:ilvl w:val="0"/>
                <w:numId w:val="1"/>
              </w:numPr>
              <w:spacing w:line="220" w:lineRule="exact"/>
              <w:jc w:val="center"/>
              <w:textAlignment w:val="center"/>
              <w:rPr>
                <w:rFonts w:ascii="黑体" w:hAnsi="宋体" w:eastAsia="黑体" w:cs="黑体"/>
                <w:color w:val="000000"/>
                <w:sz w:val="24"/>
              </w:rPr>
            </w:pPr>
          </w:p>
        </w:tc>
        <w:tc>
          <w:tcPr>
            <w:tcW w:w="920"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市场监管</w:t>
            </w:r>
          </w:p>
        </w:tc>
        <w:tc>
          <w:tcPr>
            <w:tcW w:w="2451"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食品安全监管方面</w:t>
            </w:r>
          </w:p>
        </w:tc>
        <w:tc>
          <w:tcPr>
            <w:tcW w:w="3502" w:type="dxa"/>
            <w:tcBorders>
              <w:top w:val="single" w:color="000000" w:sz="4" w:space="0"/>
              <w:left w:val="single" w:color="000000" w:sz="4" w:space="0"/>
              <w:bottom w:val="single" w:color="000000" w:sz="4" w:space="0"/>
              <w:right w:val="single" w:color="000000" w:sz="4" w:space="0"/>
            </w:tcBorders>
            <w:vAlign w:val="center"/>
          </w:tcPr>
          <w:p>
            <w:pPr>
              <w:spacing w:line="220" w:lineRule="exact"/>
              <w:jc w:val="center"/>
              <w:rPr>
                <w:rFonts w:ascii="仿宋" w:hAnsi="仿宋" w:eastAsia="仿宋" w:cs="仿宋"/>
                <w:w w:val="99"/>
                <w:kern w:val="0"/>
                <w:sz w:val="16"/>
                <w:szCs w:val="16"/>
              </w:rPr>
            </w:pPr>
          </w:p>
        </w:tc>
        <w:tc>
          <w:tcPr>
            <w:tcW w:w="4457"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r>
              <w:rPr>
                <w:rFonts w:ascii="仿宋" w:hAnsi="仿宋" w:eastAsia="仿宋" w:cs="仿宋"/>
                <w:w w:val="99"/>
                <w:kern w:val="0"/>
                <w:sz w:val="16"/>
                <w:szCs w:val="16"/>
              </w:rPr>
              <w:t>1.</w:t>
            </w:r>
            <w:r>
              <w:rPr>
                <w:rFonts w:hint="eastAsia" w:ascii="仿宋" w:hAnsi="仿宋" w:eastAsia="仿宋" w:cs="仿宋"/>
                <w:w w:val="99"/>
                <w:kern w:val="0"/>
                <w:sz w:val="16"/>
                <w:szCs w:val="16"/>
              </w:rPr>
              <w:t>违反《中华人民共和国食品安全法》第一百三十六条</w:t>
            </w:r>
            <w:r>
              <w:rPr>
                <w:rFonts w:ascii="仿宋" w:hAnsi="仿宋" w:eastAsia="仿宋" w:cs="仿宋"/>
                <w:w w:val="99"/>
                <w:kern w:val="0"/>
                <w:sz w:val="16"/>
                <w:szCs w:val="16"/>
              </w:rPr>
              <w:t xml:space="preserve"> </w:t>
            </w:r>
            <w:r>
              <w:rPr>
                <w:rFonts w:hint="eastAsia" w:ascii="仿宋" w:hAnsi="仿宋" w:eastAsia="仿宋" w:cs="仿宋"/>
                <w:w w:val="99"/>
                <w:kern w:val="0"/>
                <w:sz w:val="16"/>
                <w:szCs w:val="16"/>
              </w:rPr>
              <w:t>食品经营者履行了本法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w:t>
            </w:r>
            <w:r>
              <w:rPr>
                <w:rFonts w:ascii="仿宋" w:hAnsi="仿宋" w:eastAsia="仿宋" w:cs="仿宋"/>
                <w:w w:val="99"/>
                <w:kern w:val="0"/>
                <w:sz w:val="16"/>
                <w:szCs w:val="16"/>
              </w:rPr>
              <w:br w:type="textWrapping"/>
            </w:r>
            <w:r>
              <w:rPr>
                <w:rFonts w:ascii="仿宋" w:hAnsi="仿宋" w:eastAsia="仿宋" w:cs="仿宋"/>
                <w:w w:val="99"/>
                <w:kern w:val="0"/>
                <w:sz w:val="16"/>
                <w:szCs w:val="16"/>
              </w:rPr>
              <w:t>2.</w:t>
            </w:r>
            <w:r>
              <w:rPr>
                <w:rFonts w:hint="eastAsia" w:ascii="仿宋" w:hAnsi="仿宋" w:eastAsia="仿宋" w:cs="仿宋"/>
                <w:w w:val="99"/>
                <w:kern w:val="0"/>
                <w:sz w:val="16"/>
                <w:szCs w:val="16"/>
              </w:rPr>
              <w:t>《食品召回管理办法》第四十三条　食品生产经营者停止生产经营、召回和处置不安全食品，不免除其依法应当承担的其他法律责任。食品生产经营者主动采取停止生产经营、召回和处置不安全食品措施，消除或者减轻危害后果的，依法从轻或者减轻处罚；违法情节轻微并及时纠正，没有造成危害后果的，不予行政处罚。</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p>
        </w:tc>
        <w:tc>
          <w:tcPr>
            <w:tcW w:w="1295" w:type="dxa"/>
            <w:tcBorders>
              <w:top w:val="single" w:color="000000" w:sz="4" w:space="0"/>
              <w:left w:val="single" w:color="000000" w:sz="4" w:space="0"/>
              <w:bottom w:val="single" w:color="000000" w:sz="4" w:space="0"/>
              <w:right w:val="single" w:color="000000" w:sz="4" w:space="0"/>
            </w:tcBorders>
            <w:vAlign w:val="center"/>
          </w:tcPr>
          <w:p>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numPr>
                <w:ilvl w:val="0"/>
                <w:numId w:val="1"/>
              </w:numPr>
              <w:spacing w:line="220" w:lineRule="exact"/>
              <w:jc w:val="center"/>
              <w:textAlignment w:val="center"/>
              <w:rPr>
                <w:rFonts w:ascii="黑体" w:hAnsi="宋体" w:eastAsia="黑体" w:cs="黑体"/>
                <w:color w:val="000000"/>
                <w:sz w:val="24"/>
              </w:rPr>
            </w:pPr>
          </w:p>
        </w:tc>
        <w:tc>
          <w:tcPr>
            <w:tcW w:w="920"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市场监管</w:t>
            </w:r>
          </w:p>
        </w:tc>
        <w:tc>
          <w:tcPr>
            <w:tcW w:w="2451"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公平竞争监管方面</w:t>
            </w:r>
          </w:p>
        </w:tc>
        <w:tc>
          <w:tcPr>
            <w:tcW w:w="3502" w:type="dxa"/>
            <w:tcBorders>
              <w:top w:val="single" w:color="000000" w:sz="4" w:space="0"/>
              <w:left w:val="single" w:color="000000" w:sz="4" w:space="0"/>
              <w:bottom w:val="single" w:color="000000" w:sz="4" w:space="0"/>
              <w:right w:val="single" w:color="000000" w:sz="4" w:space="0"/>
            </w:tcBorders>
            <w:vAlign w:val="center"/>
          </w:tcPr>
          <w:p>
            <w:pPr>
              <w:spacing w:line="220" w:lineRule="exact"/>
              <w:jc w:val="center"/>
              <w:rPr>
                <w:rFonts w:ascii="仿宋" w:hAnsi="仿宋" w:eastAsia="仿宋" w:cs="仿宋"/>
                <w:w w:val="99"/>
                <w:kern w:val="0"/>
                <w:sz w:val="16"/>
                <w:szCs w:val="16"/>
              </w:rPr>
            </w:pPr>
          </w:p>
        </w:tc>
        <w:tc>
          <w:tcPr>
            <w:tcW w:w="4457"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《反不正当竞争法》</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第二十五条　经营者违反本法规定从事不正当竞争，有主动消除或者减轻违法行为危害后果等法定情形的，依法从轻或者减轻行政处罚；违法行为轻微并及时纠正，没有造成危害后果的，不予行政处罚。</w:t>
            </w:r>
          </w:p>
        </w:tc>
        <w:tc>
          <w:tcPr>
            <w:tcW w:w="1740"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p>
        </w:tc>
        <w:tc>
          <w:tcPr>
            <w:tcW w:w="1295" w:type="dxa"/>
            <w:tcBorders>
              <w:top w:val="single" w:color="000000" w:sz="4" w:space="0"/>
              <w:left w:val="single" w:color="000000" w:sz="4" w:space="0"/>
              <w:bottom w:val="single" w:color="000000" w:sz="4" w:space="0"/>
              <w:right w:val="single" w:color="000000" w:sz="4" w:space="0"/>
            </w:tcBorders>
            <w:vAlign w:val="center"/>
          </w:tcPr>
          <w:p>
            <w:pPr>
              <w:spacing w:line="220" w:lineRule="exact"/>
              <w:rPr>
                <w:rFonts w:ascii="仿宋" w:hAnsi="仿宋" w:eastAsia="仿宋" w:cs="仿宋"/>
                <w:w w:val="99"/>
                <w:kern w:val="0"/>
                <w:sz w:val="16"/>
                <w:szCs w:val="16"/>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numPr>
                <w:ilvl w:val="0"/>
                <w:numId w:val="1"/>
              </w:numPr>
              <w:spacing w:line="220" w:lineRule="exact"/>
              <w:jc w:val="center"/>
              <w:textAlignment w:val="center"/>
              <w:rPr>
                <w:rFonts w:ascii="黑体" w:hAnsi="宋体" w:eastAsia="黑体" w:cs="黑体"/>
                <w:color w:val="000000"/>
                <w:sz w:val="24"/>
              </w:rPr>
            </w:pPr>
          </w:p>
        </w:tc>
        <w:tc>
          <w:tcPr>
            <w:tcW w:w="920"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市场监管</w:t>
            </w:r>
          </w:p>
        </w:tc>
        <w:tc>
          <w:tcPr>
            <w:tcW w:w="2451"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合同监督管理方面</w:t>
            </w:r>
          </w:p>
        </w:tc>
        <w:tc>
          <w:tcPr>
            <w:tcW w:w="3502" w:type="dxa"/>
            <w:vAlign w:val="center"/>
          </w:tcPr>
          <w:p>
            <w:pPr>
              <w:spacing w:line="220" w:lineRule="exact"/>
              <w:jc w:val="center"/>
              <w:rPr>
                <w:rFonts w:ascii="仿宋" w:hAnsi="仿宋" w:eastAsia="仿宋" w:cs="仿宋"/>
                <w:w w:val="99"/>
                <w:kern w:val="0"/>
                <w:sz w:val="16"/>
                <w:szCs w:val="16"/>
              </w:rPr>
            </w:pPr>
          </w:p>
        </w:tc>
        <w:tc>
          <w:tcPr>
            <w:tcW w:w="4457" w:type="dxa"/>
            <w:vAlign w:val="center"/>
          </w:tcPr>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《合同违法行为监督处理办法》</w:t>
            </w:r>
            <w:r>
              <w:rPr>
                <w:rFonts w:ascii="仿宋" w:hAnsi="仿宋" w:eastAsia="仿宋" w:cs="仿宋"/>
                <w:w w:val="99"/>
                <w:kern w:val="0"/>
                <w:sz w:val="16"/>
                <w:szCs w:val="16"/>
              </w:rPr>
              <w:t xml:space="preserve"> </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第十三条</w:t>
            </w:r>
            <w:r>
              <w:rPr>
                <w:rFonts w:ascii="仿宋" w:hAnsi="仿宋" w:eastAsia="仿宋" w:cs="仿宋"/>
                <w:w w:val="99"/>
                <w:kern w:val="0"/>
                <w:sz w:val="16"/>
                <w:szCs w:val="16"/>
              </w:rPr>
              <w:t xml:space="preserve">  </w:t>
            </w:r>
            <w:r>
              <w:rPr>
                <w:rFonts w:hint="eastAsia" w:ascii="仿宋" w:hAnsi="仿宋" w:eastAsia="仿宋" w:cs="仿宋"/>
                <w:w w:val="99"/>
                <w:kern w:val="0"/>
                <w:sz w:val="16"/>
                <w:szCs w:val="16"/>
              </w:rPr>
              <w:t>当事人合同违法行为轻微并及时纠正，没有造成危害后果的，应当依法不予行政处罚；主动消除或者减轻危害后果的，应当依法从轻或者减轻行政处罚；经督促、引导，能够主动改正或者及时中止合同违法行为的，可以依法从轻行政处罚。</w:t>
            </w:r>
          </w:p>
        </w:tc>
        <w:tc>
          <w:tcPr>
            <w:tcW w:w="1740" w:type="dxa"/>
            <w:vAlign w:val="center"/>
          </w:tcPr>
          <w:p>
            <w:pPr>
              <w:spacing w:line="220" w:lineRule="exact"/>
              <w:rPr>
                <w:rFonts w:ascii="仿宋" w:hAnsi="仿宋" w:eastAsia="仿宋" w:cs="仿宋"/>
                <w:w w:val="99"/>
                <w:kern w:val="0"/>
                <w:sz w:val="16"/>
                <w:szCs w:val="16"/>
              </w:rPr>
            </w:pPr>
          </w:p>
        </w:tc>
        <w:tc>
          <w:tcPr>
            <w:tcW w:w="1295" w:type="dxa"/>
            <w:vAlign w:val="center"/>
          </w:tcPr>
          <w:p>
            <w:pPr>
              <w:spacing w:line="220" w:lineRule="exact"/>
              <w:rPr>
                <w:rFonts w:ascii="仿宋" w:hAnsi="仿宋" w:eastAsia="仿宋" w:cs="仿宋"/>
                <w:w w:val="99"/>
                <w:kern w:val="0"/>
                <w:sz w:val="16"/>
                <w:szCs w:val="16"/>
              </w:rPr>
            </w:pPr>
            <w:r>
              <w:rPr>
                <w:rFonts w:hint="eastAsia" w:ascii="仿宋" w:hAnsi="仿宋" w:eastAsia="仿宋" w:cs="仿宋"/>
                <w:w w:val="99"/>
                <w:sz w:val="16"/>
                <w:szCs w:val="16"/>
              </w:rPr>
              <w:t>市、县（市）区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numPr>
                <w:ilvl w:val="0"/>
                <w:numId w:val="1"/>
              </w:numPr>
              <w:spacing w:line="220" w:lineRule="exact"/>
              <w:jc w:val="center"/>
              <w:textAlignment w:val="center"/>
              <w:rPr>
                <w:rFonts w:ascii="黑体" w:hAnsi="宋体" w:eastAsia="黑体" w:cs="黑体"/>
                <w:color w:val="000000"/>
                <w:sz w:val="24"/>
              </w:rPr>
            </w:pPr>
          </w:p>
        </w:tc>
        <w:tc>
          <w:tcPr>
            <w:tcW w:w="920"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市场监管</w:t>
            </w:r>
          </w:p>
        </w:tc>
        <w:tc>
          <w:tcPr>
            <w:tcW w:w="2451" w:type="dxa"/>
            <w:vAlign w:val="center"/>
          </w:tcPr>
          <w:p>
            <w:pPr>
              <w:spacing w:line="220" w:lineRule="exact"/>
              <w:jc w:val="center"/>
              <w:rPr>
                <w:rFonts w:hint="eastAsia" w:ascii="仿宋" w:hAnsi="仿宋" w:eastAsia="仿宋" w:cs="仿宋"/>
                <w:w w:val="99"/>
                <w:kern w:val="0"/>
                <w:sz w:val="16"/>
                <w:szCs w:val="16"/>
                <w:lang w:eastAsia="zh-CN"/>
              </w:rPr>
            </w:pPr>
            <w:r>
              <w:rPr>
                <w:rFonts w:hint="eastAsia" w:ascii="仿宋" w:hAnsi="仿宋" w:eastAsia="仿宋" w:cs="仿宋"/>
                <w:w w:val="99"/>
                <w:kern w:val="0"/>
                <w:sz w:val="16"/>
                <w:szCs w:val="16"/>
                <w:lang w:eastAsia="zh-CN"/>
              </w:rPr>
              <w:t>药品</w:t>
            </w:r>
            <w:r>
              <w:rPr>
                <w:rFonts w:hint="eastAsia" w:ascii="仿宋" w:hAnsi="仿宋" w:eastAsia="仿宋" w:cs="仿宋"/>
                <w:w w:val="99"/>
                <w:kern w:val="0"/>
                <w:sz w:val="16"/>
                <w:szCs w:val="16"/>
              </w:rPr>
              <w:t>监督管理方面</w:t>
            </w:r>
          </w:p>
        </w:tc>
        <w:tc>
          <w:tcPr>
            <w:tcW w:w="3502" w:type="dxa"/>
            <w:vAlign w:val="center"/>
          </w:tcPr>
          <w:p>
            <w:pPr>
              <w:spacing w:line="220" w:lineRule="exact"/>
              <w:jc w:val="center"/>
              <w:rPr>
                <w:rFonts w:ascii="仿宋" w:hAnsi="仿宋" w:eastAsia="仿宋" w:cs="仿宋"/>
                <w:w w:val="99"/>
                <w:kern w:val="0"/>
                <w:sz w:val="16"/>
                <w:szCs w:val="16"/>
              </w:rPr>
            </w:pPr>
          </w:p>
        </w:tc>
        <w:tc>
          <w:tcPr>
            <w:tcW w:w="4457" w:type="dxa"/>
            <w:vAlign w:val="center"/>
          </w:tcPr>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《药品召回管理办法》</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第二十九条　药品监督管理部门确认药品生产企业因违反法律、法规、规章规定造成上市药品存在安全隐患，依法应当给予行政处罚，但该企业已经采取召回措施主动消除或者减轻危害后果的，依照《行政处罚法》的规定从轻或者减轻处罚；违法行为轻微并及时纠正，没有造成危害后果的，不予处罚。药品生产企业召回药品的，不免除其依法应当承担的其他法律责任。</w:t>
            </w:r>
          </w:p>
        </w:tc>
        <w:tc>
          <w:tcPr>
            <w:tcW w:w="1740" w:type="dxa"/>
            <w:vAlign w:val="center"/>
          </w:tcPr>
          <w:p>
            <w:pPr>
              <w:spacing w:line="220" w:lineRule="exact"/>
              <w:rPr>
                <w:rFonts w:ascii="仿宋" w:hAnsi="仿宋" w:eastAsia="仿宋" w:cs="仿宋"/>
                <w:w w:val="99"/>
                <w:kern w:val="0"/>
                <w:sz w:val="16"/>
                <w:szCs w:val="16"/>
              </w:rPr>
            </w:pPr>
          </w:p>
        </w:tc>
        <w:tc>
          <w:tcPr>
            <w:tcW w:w="1295" w:type="dxa"/>
            <w:vAlign w:val="center"/>
          </w:tcPr>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省级权力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03" w:type="dxa"/>
            <w:vAlign w:val="center"/>
          </w:tcPr>
          <w:p>
            <w:pPr>
              <w:widowControl/>
              <w:numPr>
                <w:ilvl w:val="0"/>
                <w:numId w:val="1"/>
              </w:numPr>
              <w:spacing w:line="220" w:lineRule="exact"/>
              <w:jc w:val="center"/>
              <w:textAlignment w:val="center"/>
              <w:rPr>
                <w:rFonts w:ascii="黑体" w:hAnsi="宋体" w:eastAsia="黑体" w:cs="黑体"/>
                <w:color w:val="000000"/>
                <w:sz w:val="24"/>
              </w:rPr>
            </w:pPr>
          </w:p>
        </w:tc>
        <w:tc>
          <w:tcPr>
            <w:tcW w:w="920" w:type="dxa"/>
            <w:vAlign w:val="center"/>
          </w:tcPr>
          <w:p>
            <w:pPr>
              <w:spacing w:line="220" w:lineRule="exact"/>
              <w:jc w:val="center"/>
              <w:rPr>
                <w:rFonts w:ascii="仿宋" w:hAnsi="仿宋" w:eastAsia="仿宋" w:cs="仿宋"/>
                <w:w w:val="99"/>
                <w:kern w:val="0"/>
                <w:sz w:val="16"/>
                <w:szCs w:val="16"/>
              </w:rPr>
            </w:pPr>
            <w:r>
              <w:rPr>
                <w:rFonts w:hint="eastAsia" w:ascii="仿宋" w:hAnsi="仿宋" w:eastAsia="仿宋" w:cs="仿宋"/>
                <w:w w:val="99"/>
                <w:kern w:val="0"/>
                <w:sz w:val="16"/>
                <w:szCs w:val="16"/>
              </w:rPr>
              <w:t>市场监管</w:t>
            </w:r>
          </w:p>
        </w:tc>
        <w:tc>
          <w:tcPr>
            <w:tcW w:w="2451" w:type="dxa"/>
            <w:vAlign w:val="center"/>
          </w:tcPr>
          <w:p>
            <w:pPr>
              <w:spacing w:line="220" w:lineRule="exact"/>
              <w:jc w:val="center"/>
              <w:rPr>
                <w:rFonts w:hint="eastAsia" w:ascii="仿宋" w:hAnsi="仿宋" w:eastAsia="仿宋" w:cs="仿宋"/>
                <w:w w:val="99"/>
                <w:kern w:val="0"/>
                <w:sz w:val="16"/>
                <w:szCs w:val="16"/>
                <w:lang w:eastAsia="zh-CN"/>
              </w:rPr>
            </w:pPr>
            <w:r>
              <w:rPr>
                <w:rFonts w:hint="eastAsia" w:ascii="仿宋" w:hAnsi="仿宋" w:eastAsia="仿宋" w:cs="仿宋"/>
                <w:w w:val="99"/>
                <w:kern w:val="0"/>
                <w:sz w:val="16"/>
                <w:szCs w:val="16"/>
                <w:lang w:eastAsia="zh-CN"/>
              </w:rPr>
              <w:t>医疗器械</w:t>
            </w:r>
            <w:r>
              <w:rPr>
                <w:rFonts w:hint="eastAsia" w:ascii="仿宋" w:hAnsi="仿宋" w:eastAsia="仿宋" w:cs="仿宋"/>
                <w:w w:val="99"/>
                <w:kern w:val="0"/>
                <w:sz w:val="16"/>
                <w:szCs w:val="16"/>
              </w:rPr>
              <w:t>监督管理方面</w:t>
            </w:r>
          </w:p>
        </w:tc>
        <w:tc>
          <w:tcPr>
            <w:tcW w:w="3502" w:type="dxa"/>
            <w:vAlign w:val="center"/>
          </w:tcPr>
          <w:p>
            <w:pPr>
              <w:spacing w:line="220" w:lineRule="exact"/>
              <w:jc w:val="center"/>
              <w:rPr>
                <w:rFonts w:ascii="仿宋" w:hAnsi="仿宋" w:eastAsia="仿宋" w:cs="仿宋"/>
                <w:w w:val="99"/>
                <w:kern w:val="0"/>
                <w:sz w:val="16"/>
                <w:szCs w:val="16"/>
              </w:rPr>
            </w:pPr>
          </w:p>
        </w:tc>
        <w:tc>
          <w:tcPr>
            <w:tcW w:w="4457" w:type="dxa"/>
            <w:vAlign w:val="center"/>
          </w:tcPr>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《医疗器械召回管理办法》</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第二十八条</w:t>
            </w:r>
            <w:r>
              <w:rPr>
                <w:rFonts w:ascii="仿宋" w:hAnsi="仿宋" w:eastAsia="仿宋" w:cs="仿宋"/>
                <w:w w:val="99"/>
                <w:kern w:val="0"/>
                <w:sz w:val="16"/>
                <w:szCs w:val="16"/>
              </w:rPr>
              <w:t xml:space="preserve"> </w:t>
            </w:r>
            <w:r>
              <w:rPr>
                <w:rFonts w:hint="eastAsia" w:ascii="仿宋" w:hAnsi="仿宋" w:eastAsia="仿宋" w:cs="仿宋"/>
                <w:w w:val="99"/>
                <w:kern w:val="0"/>
                <w:sz w:val="16"/>
                <w:szCs w:val="16"/>
              </w:rPr>
              <w:t>医疗器械生产企业因违反法律、法规、规章规定造成上市医疗器械存在缺陷，依法应当给予行政处罚，但该企业已经采取召回措施主动消除或者减轻危害后果的，食品药品监督管理部门依照《中华人民共和国行政处罚法》的规定给予从轻或者减轻处罚</w:t>
            </w:r>
            <w:r>
              <w:rPr>
                <w:rFonts w:ascii="仿宋" w:hAnsi="仿宋" w:eastAsia="仿宋" w:cs="仿宋"/>
                <w:w w:val="99"/>
                <w:kern w:val="0"/>
                <w:sz w:val="16"/>
                <w:szCs w:val="16"/>
              </w:rPr>
              <w:t>;</w:t>
            </w:r>
            <w:r>
              <w:rPr>
                <w:rFonts w:hint="eastAsia" w:ascii="仿宋" w:hAnsi="仿宋" w:eastAsia="仿宋" w:cs="仿宋"/>
                <w:w w:val="99"/>
                <w:kern w:val="0"/>
                <w:sz w:val="16"/>
                <w:szCs w:val="16"/>
              </w:rPr>
              <w:t>违法行为轻微并及时纠正，没有造成危害后果的，不予处罚。</w:t>
            </w:r>
          </w:p>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医疗器械生产企业召回医疗器械的，不免除其依法应当承担的其他法律责任。</w:t>
            </w:r>
          </w:p>
        </w:tc>
        <w:tc>
          <w:tcPr>
            <w:tcW w:w="1740" w:type="dxa"/>
            <w:vAlign w:val="center"/>
          </w:tcPr>
          <w:p>
            <w:pPr>
              <w:spacing w:line="220" w:lineRule="exact"/>
              <w:rPr>
                <w:rFonts w:ascii="仿宋" w:hAnsi="仿宋" w:eastAsia="仿宋" w:cs="仿宋"/>
                <w:w w:val="99"/>
                <w:kern w:val="0"/>
                <w:sz w:val="16"/>
                <w:szCs w:val="16"/>
              </w:rPr>
            </w:pPr>
          </w:p>
        </w:tc>
        <w:tc>
          <w:tcPr>
            <w:tcW w:w="1295" w:type="dxa"/>
            <w:vAlign w:val="center"/>
          </w:tcPr>
          <w:p>
            <w:pPr>
              <w:spacing w:line="220" w:lineRule="exact"/>
              <w:rPr>
                <w:rFonts w:ascii="仿宋" w:hAnsi="仿宋" w:eastAsia="仿宋" w:cs="仿宋"/>
                <w:w w:val="99"/>
                <w:kern w:val="0"/>
                <w:sz w:val="16"/>
                <w:szCs w:val="16"/>
              </w:rPr>
            </w:pPr>
            <w:r>
              <w:rPr>
                <w:rFonts w:hint="eastAsia" w:ascii="仿宋" w:hAnsi="仿宋" w:eastAsia="仿宋" w:cs="仿宋"/>
                <w:w w:val="99"/>
                <w:kern w:val="0"/>
                <w:sz w:val="16"/>
                <w:szCs w:val="16"/>
              </w:rPr>
              <w:t>省级权力</w:t>
            </w:r>
          </w:p>
        </w:tc>
      </w:tr>
    </w:tbl>
    <w:p/>
    <w:sectPr>
      <w:pgSz w:w="16838" w:h="11906" w:orient="landscape"/>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altName w:val="Arial Unicode MS"/>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200F5E"/>
    <w:multiLevelType w:val="multilevel"/>
    <w:tmpl w:val="7D200F5E"/>
    <w:lvl w:ilvl="0" w:tentative="0">
      <w:start w:val="1"/>
      <w:numFmt w:val="decimal"/>
      <w:lvlText w:val="%1."/>
      <w:lvlJc w:val="left"/>
      <w:pPr>
        <w:tabs>
          <w:tab w:val="left" w:pos="420"/>
        </w:tabs>
        <w:ind w:left="420" w:hanging="420"/>
      </w:pPr>
      <w:rPr>
        <w:rFonts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61655D3"/>
    <w:rsid w:val="000113B2"/>
    <w:rsid w:val="00643008"/>
    <w:rsid w:val="007B5F5F"/>
    <w:rsid w:val="00A05B9D"/>
    <w:rsid w:val="00C85D91"/>
    <w:rsid w:val="00EC28DD"/>
    <w:rsid w:val="00EC7C24"/>
    <w:rsid w:val="00F2603C"/>
    <w:rsid w:val="00F34CAB"/>
    <w:rsid w:val="00F81423"/>
    <w:rsid w:val="014C5C2F"/>
    <w:rsid w:val="461655D3"/>
    <w:rsid w:val="6E4006C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Heading3"/>
    <w:basedOn w:val="1"/>
    <w:next w:val="1"/>
    <w:uiPriority w:val="99"/>
    <w:pPr>
      <w:keepNext/>
      <w:keepLines/>
      <w:spacing w:line="560" w:lineRule="exact"/>
      <w:textAlignment w:val="baseline"/>
    </w:pPr>
    <w:rPr>
      <w:b/>
    </w:rPr>
  </w:style>
  <w:style w:type="paragraph" w:styleId="3">
    <w:name w:val="Body Text"/>
    <w:basedOn w:val="1"/>
    <w:link w:val="9"/>
    <w:qFormat/>
    <w:uiPriority w:val="99"/>
    <w:pPr>
      <w:autoSpaceDE w:val="0"/>
      <w:autoSpaceDN w:val="0"/>
      <w:jc w:val="left"/>
    </w:pPr>
    <w:rPr>
      <w:rFonts w:ascii="宋体" w:hAnsi="宋体" w:cs="宋体"/>
      <w:kern w:val="0"/>
      <w:sz w:val="32"/>
      <w:szCs w:val="32"/>
    </w:rPr>
  </w:style>
  <w:style w:type="paragraph" w:styleId="4">
    <w:name w:val="footer"/>
    <w:basedOn w:val="1"/>
    <w:link w:val="11"/>
    <w:uiPriority w:val="99"/>
    <w:pPr>
      <w:tabs>
        <w:tab w:val="center" w:pos="4153"/>
        <w:tab w:val="right" w:pos="8306"/>
      </w:tabs>
      <w:snapToGrid w:val="0"/>
      <w:jc w:val="left"/>
    </w:pPr>
    <w:rPr>
      <w:sz w:val="18"/>
      <w:szCs w:val="18"/>
    </w:rPr>
  </w:style>
  <w:style w:type="paragraph" w:styleId="5">
    <w:name w:val="header"/>
    <w:basedOn w:val="1"/>
    <w:link w:val="10"/>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99"/>
    <w:pPr>
      <w:spacing w:beforeAutospacing="1" w:afterAutospacing="1"/>
      <w:jc w:val="left"/>
    </w:pPr>
    <w:rPr>
      <w:kern w:val="0"/>
      <w:sz w:val="24"/>
    </w:rPr>
  </w:style>
  <w:style w:type="character" w:customStyle="1" w:styleId="9">
    <w:name w:val="Body Text Char"/>
    <w:basedOn w:val="8"/>
    <w:link w:val="3"/>
    <w:semiHidden/>
    <w:uiPriority w:val="99"/>
    <w:rPr>
      <w:szCs w:val="24"/>
    </w:rPr>
  </w:style>
  <w:style w:type="character" w:customStyle="1" w:styleId="10">
    <w:name w:val="Header Char"/>
    <w:basedOn w:val="8"/>
    <w:link w:val="5"/>
    <w:semiHidden/>
    <w:uiPriority w:val="99"/>
    <w:rPr>
      <w:sz w:val="18"/>
      <w:szCs w:val="18"/>
    </w:rPr>
  </w:style>
  <w:style w:type="character" w:customStyle="1" w:styleId="11">
    <w:name w:val="Footer Char"/>
    <w:basedOn w:val="8"/>
    <w:link w:val="4"/>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36793;&#36317;%20word&#27169;&#2649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2边距 word模板.dot</Template>
  <Pages>10</Pages>
  <Words>1324</Words>
  <Characters>7552</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2022-04-14T02:28:00Z</dcterms:created>
  <dc:creator>Administrator</dc:creator>
  <cp:lastModifiedBy>好多鱼</cp:lastModifiedBy>
  <dcterms:modified xsi:type="dcterms:W3CDTF">2022-06-21T02:16:56Z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